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C8FD4" w14:textId="56E7DA15" w:rsidR="00577F22" w:rsidRPr="00577F22" w:rsidRDefault="00A2463E" w:rsidP="003A5C99">
      <w:pPr>
        <w:spacing w:line="276" w:lineRule="auto"/>
        <w:jc w:val="both"/>
        <w:rPr>
          <w:rFonts w:ascii="Times New Roman" w:hAnsi="Times New Roman" w:cs="Times New Roman"/>
          <w:b/>
          <w:bCs/>
        </w:rPr>
      </w:pPr>
      <w:r>
        <w:rPr>
          <w:rFonts w:ascii="Times New Roman" w:hAnsi="Times New Roman" w:cs="Times New Roman"/>
          <w:b/>
          <w:bCs/>
        </w:rPr>
        <w:t xml:space="preserve">Title: </w:t>
      </w:r>
      <w:r w:rsidR="00977619">
        <w:rPr>
          <w:rFonts w:ascii="Times New Roman" w:hAnsi="Times New Roman" w:cs="Times New Roman"/>
          <w:b/>
          <w:bCs/>
        </w:rPr>
        <w:t>4D Projection-Limit Ge</w:t>
      </w:r>
      <w:r w:rsidR="00621DA5">
        <w:rPr>
          <w:rFonts w:ascii="Times New Roman" w:hAnsi="Times New Roman" w:cs="Times New Roman"/>
          <w:b/>
          <w:bCs/>
        </w:rPr>
        <w:t>o</w:t>
      </w:r>
      <w:r w:rsidR="00977619">
        <w:rPr>
          <w:rFonts w:ascii="Times New Roman" w:hAnsi="Times New Roman" w:cs="Times New Roman"/>
          <w:b/>
          <w:bCs/>
        </w:rPr>
        <w:t>metric Form</w:t>
      </w:r>
      <w:r w:rsidR="00621DA5">
        <w:rPr>
          <w:rFonts w:ascii="Times New Roman" w:hAnsi="Times New Roman" w:cs="Times New Roman"/>
          <w:b/>
          <w:bCs/>
        </w:rPr>
        <w:t>ulation</w:t>
      </w:r>
    </w:p>
    <w:p w14:paraId="2DB6122A" w14:textId="67FDFB71" w:rsidR="006D2BD3" w:rsidRPr="00A2463E" w:rsidRDefault="0023047F" w:rsidP="003A5C99">
      <w:pPr>
        <w:spacing w:line="276" w:lineRule="auto"/>
        <w:jc w:val="both"/>
        <w:rPr>
          <w:rFonts w:ascii="Times New Roman" w:hAnsi="Times New Roman" w:cs="Times New Roman"/>
          <w:sz w:val="20"/>
          <w:szCs w:val="20"/>
        </w:rPr>
      </w:pPr>
      <w:r w:rsidRPr="00A2463E">
        <w:rPr>
          <w:rFonts w:ascii="Times New Roman" w:hAnsi="Times New Roman" w:cs="Times New Roman"/>
          <w:sz w:val="20"/>
          <w:szCs w:val="20"/>
        </w:rPr>
        <w:t xml:space="preserve">Author: </w:t>
      </w:r>
      <w:r w:rsidR="006D2BD3" w:rsidRPr="00A2463E">
        <w:rPr>
          <w:rFonts w:ascii="Times New Roman" w:hAnsi="Times New Roman" w:cs="Times New Roman"/>
          <w:sz w:val="20"/>
          <w:szCs w:val="20"/>
        </w:rPr>
        <w:t>KJ</w:t>
      </w:r>
      <w:r w:rsidR="008C1FFA" w:rsidRPr="00A2463E">
        <w:rPr>
          <w:rFonts w:ascii="Times New Roman" w:hAnsi="Times New Roman" w:cs="Times New Roman"/>
          <w:sz w:val="20"/>
          <w:szCs w:val="20"/>
        </w:rPr>
        <w:t>.</w:t>
      </w:r>
      <w:r w:rsidR="006D2BD3" w:rsidRPr="00A2463E">
        <w:rPr>
          <w:rFonts w:ascii="Times New Roman" w:hAnsi="Times New Roman" w:cs="Times New Roman"/>
          <w:sz w:val="20"/>
          <w:szCs w:val="20"/>
        </w:rPr>
        <w:t xml:space="preserve"> Warne</w:t>
      </w:r>
    </w:p>
    <w:p w14:paraId="39C725CD" w14:textId="47F13982" w:rsidR="0023047F" w:rsidRPr="00A2463E" w:rsidRDefault="0023047F" w:rsidP="003A5C99">
      <w:pPr>
        <w:spacing w:line="276" w:lineRule="auto"/>
        <w:jc w:val="both"/>
        <w:rPr>
          <w:rFonts w:ascii="Times New Roman" w:hAnsi="Times New Roman" w:cs="Times New Roman"/>
          <w:sz w:val="20"/>
          <w:szCs w:val="20"/>
        </w:rPr>
      </w:pPr>
      <w:r w:rsidRPr="00A2463E">
        <w:rPr>
          <w:rFonts w:ascii="Times New Roman" w:hAnsi="Times New Roman" w:cs="Times New Roman"/>
          <w:sz w:val="20"/>
          <w:szCs w:val="20"/>
        </w:rPr>
        <w:t>Affiliation: Independent</w:t>
      </w:r>
      <w:r w:rsidR="009D1D11">
        <w:rPr>
          <w:rFonts w:ascii="Times New Roman" w:hAnsi="Times New Roman" w:cs="Times New Roman"/>
          <w:sz w:val="20"/>
          <w:szCs w:val="20"/>
        </w:rPr>
        <w:t xml:space="preserve"> Researcher</w:t>
      </w:r>
      <w:r w:rsidR="001D1AC5">
        <w:rPr>
          <w:rFonts w:ascii="Times New Roman" w:hAnsi="Times New Roman" w:cs="Times New Roman"/>
          <w:sz w:val="20"/>
          <w:szCs w:val="20"/>
        </w:rPr>
        <w:t>, Milton Keynes, UK</w:t>
      </w:r>
    </w:p>
    <w:p w14:paraId="06EFFF4C" w14:textId="2C625853" w:rsidR="00875EE3" w:rsidRPr="00A2463E" w:rsidRDefault="00875EE3" w:rsidP="003A5C99">
      <w:pPr>
        <w:spacing w:line="276" w:lineRule="auto"/>
        <w:jc w:val="both"/>
        <w:rPr>
          <w:rFonts w:ascii="Times New Roman" w:hAnsi="Times New Roman" w:cs="Times New Roman"/>
          <w:sz w:val="20"/>
          <w:szCs w:val="20"/>
        </w:rPr>
      </w:pPr>
      <w:proofErr w:type="spellStart"/>
      <w:r w:rsidRPr="00A2463E">
        <w:rPr>
          <w:rFonts w:ascii="Times New Roman" w:hAnsi="Times New Roman" w:cs="Times New Roman"/>
          <w:sz w:val="20"/>
          <w:szCs w:val="20"/>
        </w:rPr>
        <w:t>Orcid</w:t>
      </w:r>
      <w:proofErr w:type="spellEnd"/>
      <w:r w:rsidR="00A2463E">
        <w:rPr>
          <w:rFonts w:ascii="Times New Roman" w:hAnsi="Times New Roman" w:cs="Times New Roman"/>
          <w:sz w:val="20"/>
          <w:szCs w:val="20"/>
        </w:rPr>
        <w:t>:</w:t>
      </w:r>
      <w:r w:rsidRPr="00A2463E">
        <w:rPr>
          <w:rFonts w:ascii="Times New Roman" w:hAnsi="Times New Roman" w:cs="Times New Roman"/>
          <w:sz w:val="20"/>
          <w:szCs w:val="20"/>
        </w:rPr>
        <w:t xml:space="preserve"> </w:t>
      </w:r>
      <w:r w:rsidR="00A2463E" w:rsidRPr="00A2463E">
        <w:rPr>
          <w:rFonts w:ascii="Times New Roman" w:hAnsi="Times New Roman" w:cs="Times New Roman"/>
          <w:sz w:val="20"/>
          <w:szCs w:val="20"/>
        </w:rPr>
        <w:t>0009-0004-8031-329X</w:t>
      </w:r>
    </w:p>
    <w:p w14:paraId="5DF0AB87" w14:textId="5D980D0B" w:rsidR="00875EE3" w:rsidRPr="00A2463E" w:rsidRDefault="00875EE3" w:rsidP="003A5C99">
      <w:pPr>
        <w:spacing w:line="276" w:lineRule="auto"/>
        <w:jc w:val="both"/>
        <w:rPr>
          <w:rFonts w:ascii="Times New Roman" w:hAnsi="Times New Roman" w:cs="Times New Roman"/>
          <w:sz w:val="20"/>
          <w:szCs w:val="20"/>
        </w:rPr>
      </w:pPr>
      <w:r w:rsidRPr="00A2463E">
        <w:rPr>
          <w:rFonts w:ascii="Times New Roman" w:hAnsi="Times New Roman" w:cs="Times New Roman"/>
          <w:sz w:val="20"/>
          <w:szCs w:val="20"/>
        </w:rPr>
        <w:t>Email: keladrin@talktalk.net</w:t>
      </w:r>
    </w:p>
    <w:p w14:paraId="6FC958B6" w14:textId="77777777" w:rsidR="0091619F" w:rsidRPr="00F2311E" w:rsidRDefault="00F62CA9" w:rsidP="003A5C99">
      <w:pPr>
        <w:pStyle w:val="Heading1"/>
        <w:spacing w:line="276" w:lineRule="auto"/>
        <w:jc w:val="both"/>
      </w:pPr>
      <w:r w:rsidRPr="00F2311E">
        <w:t>Abstract</w:t>
      </w:r>
    </w:p>
    <w:p w14:paraId="1AE0A4A0" w14:textId="77777777" w:rsidR="00753D82" w:rsidRPr="00753D82" w:rsidRDefault="00753D82" w:rsidP="00753D82">
      <w:pPr>
        <w:jc w:val="both"/>
        <w:rPr>
          <w:rFonts w:ascii="Times New Roman" w:hAnsi="Times New Roman" w:cs="Times New Roman"/>
        </w:rPr>
      </w:pPr>
      <w:r w:rsidRPr="00753D82">
        <w:rPr>
          <w:rFonts w:ascii="Times New Roman" w:hAnsi="Times New Roman" w:cs="Times New Roman"/>
        </w:rPr>
        <w:t>This paper develops a formal 4-dimensional projection-limit geometric formulation (PLG) in which relativistic and quantum-foundational phenomena emerge from the properties of a higher-dimensional Euclidean manifold. Physical configurations are represented as static geometries in ℝ⁴, while observable dynamics arise through projection and relational metric decomposition onto an observer-defined 3-dimensional Reality Plane. Within this framework, temporal ordering is identified with geometric displacement along the fourth spatial dimension rather than an independent coordinate. The Lorentz factor and the constancy of light speed follow as direct consequences of a conserved 4-dimensional expansion invariant.</w:t>
      </w:r>
    </w:p>
    <w:p w14:paraId="37185E4D" w14:textId="77777777" w:rsidR="00753D82" w:rsidRPr="00753D82" w:rsidRDefault="00753D82" w:rsidP="00753D82">
      <w:pPr>
        <w:jc w:val="both"/>
        <w:rPr>
          <w:rFonts w:ascii="Times New Roman" w:hAnsi="Times New Roman" w:cs="Times New Roman"/>
        </w:rPr>
      </w:pPr>
      <w:r w:rsidRPr="00753D82">
        <w:rPr>
          <w:rFonts w:ascii="Times New Roman" w:hAnsi="Times New Roman" w:cs="Times New Roman"/>
        </w:rPr>
        <w:t>The framework is extended to a scalar expansion field dependent on local energy density, whose weak-field limit recovers Newtonian gravitation and leading-order relativistic redshift behaviour. Photon configurations correspond to projection-limit boundary states of the expansion invariant, from which the observer-independent spatial–temporal metric ratio c emerges geometrically. A geometric interpretation of quantum probability is developed, in which Born-type weighting arises from dimensional reduction of 4-dimensional configurations, and measurement-induced localisation follows from geometric compatibility constraints between projection-limit and finite-metric systems. The formulation provides a unified geometric framework for relativistic behaviour, gravitational dynamics, and quantum probability structure.</w:t>
      </w:r>
    </w:p>
    <w:p w14:paraId="3B8D2C7D" w14:textId="1593E455" w:rsidR="0093315C" w:rsidRPr="0067472F" w:rsidRDefault="0093315C" w:rsidP="0067472F">
      <w:pPr>
        <w:rPr>
          <w:rFonts w:ascii="Times New Roman" w:hAnsi="Times New Roman" w:cs="Times New Roman"/>
          <w:b/>
        </w:rPr>
      </w:pPr>
      <w:r w:rsidRPr="0067472F">
        <w:rPr>
          <w:rFonts w:ascii="Times New Roman" w:hAnsi="Times New Roman" w:cs="Times New Roman"/>
        </w:rPr>
        <w:t>An earlier version of this work was released as a preprint [31].</w:t>
      </w:r>
    </w:p>
    <w:p w14:paraId="74784F61" w14:textId="6D06DE5B" w:rsidR="00987D80" w:rsidRPr="00987D80" w:rsidRDefault="00987D80" w:rsidP="003A5C99">
      <w:pPr>
        <w:pStyle w:val="Heading1"/>
        <w:spacing w:line="276" w:lineRule="auto"/>
      </w:pPr>
      <w:r w:rsidRPr="00987D80">
        <w:t>1. Introduction</w:t>
      </w:r>
    </w:p>
    <w:p w14:paraId="3D9B59F6" w14:textId="77777777" w:rsidR="00E22262" w:rsidRPr="00E22262" w:rsidRDefault="00E22262" w:rsidP="00E22262">
      <w:pPr>
        <w:pStyle w:val="Heading2"/>
      </w:pPr>
      <w:r w:rsidRPr="00E22262">
        <w:t>1.1 Background</w:t>
      </w:r>
    </w:p>
    <w:p w14:paraId="0BD710EE"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The relationship between relativistic geometry, quantum dynamics, and gravitation remains an open foundational problem in theoretical physics. General relativity describes gravitation through curvature of a Lorentzian metric [1, 2, 6], while quantum mechanics employs probabilistic wavefunctions defined over Hilbert space [9–12]. These frameworks differ fundamentally in mathematical structure and in their treatment of time and measurement, motivating efforts to clarify whether time is fundamental or emergent [25].</w:t>
      </w:r>
    </w:p>
    <w:p w14:paraId="54B136C7"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 xml:space="preserve">Euclidean higher-dimensional embeddings and geometric reformulations have been explored as alternative foundations [3, 7, 26]. String-theoretic models introduce additional compactified dimensions, Loop Quantum Gravity quantises geometry, and emergent-gravity approaches </w:t>
      </w:r>
      <w:r w:rsidRPr="00E22262">
        <w:rPr>
          <w:rFonts w:ascii="Times New Roman" w:hAnsi="Times New Roman" w:cs="Times New Roman"/>
        </w:rPr>
        <w:lastRenderedPageBreak/>
        <w:t>reinterpret gravitational behaviour thermodynamically [28, 29]. Despite this diversity of strategies, a unified geometric construction linking relativistic invariance, gravitational behaviour, and measurement structure remains open.</w:t>
      </w:r>
    </w:p>
    <w:p w14:paraId="2D8F529A" w14:textId="77777777" w:rsidR="00E22262" w:rsidRPr="00E22262" w:rsidRDefault="00E22262" w:rsidP="00E22262">
      <w:pPr>
        <w:pStyle w:val="Heading2"/>
      </w:pPr>
      <w:r w:rsidRPr="00E22262">
        <w:t>1.2 Essentials of the Present Approach</w:t>
      </w:r>
    </w:p>
    <w:p w14:paraId="6E609D68"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This work develops a 4-dimensional projection-limit geometric formulation (PLG) in which observable dynamics arise from projection and relational metric decomposition of fixed geometries embedded in a Euclidean manifold ℝ⁴. Temporal ordering is not assumed as a fundamental coordinate but emerges from geometric displacement along a fourth spatial coordinate, x₄.</w:t>
      </w:r>
    </w:p>
    <w:p w14:paraId="0B839938"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All physical configurations satisfy a conserved 4-dimensional expansion invariant. Massive systems possess finite geometric displacement along x₄ governed by a scalar expansion field ε(x) dependent on local mass–energy density ρ. Photons correspond to projection-limit boundary configurations in which no finite x₄ progression is accessible. Established properties of invariant light speed and null intervals [1, 2] therefore arise as geometric boundary consequences rather than independent postulates.</w:t>
      </w:r>
    </w:p>
    <w:p w14:paraId="5299A553"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Gradients of ε(x) encode gravitational effects through relational spatial rescaling rather than curvature of a Lorentzian metric [2, 6]. In appropriate limits the formulation reproduces Newtonian gravity [5], gravitational redshift [2, 6], and weak-field lensing behaviour. At galactic scales, asymptotic behaviour of ε(x) yields flat rotation profiles without additional matter components, providing a geometric alternative to modified-dynamics and emergent-gravity models [15–19, 28, 29].</w:t>
      </w:r>
    </w:p>
    <w:p w14:paraId="6B6852E4" w14:textId="77777777" w:rsidR="00E22262" w:rsidRPr="00E22262" w:rsidRDefault="00E22262" w:rsidP="00E22262">
      <w:pPr>
        <w:jc w:val="both"/>
        <w:rPr>
          <w:rFonts w:ascii="Times New Roman" w:hAnsi="Times New Roman" w:cs="Times New Roman"/>
        </w:rPr>
      </w:pPr>
      <w:r w:rsidRPr="00E22262">
        <w:rPr>
          <w:rFonts w:ascii="Times New Roman" w:hAnsi="Times New Roman" w:cs="Times New Roman"/>
        </w:rPr>
        <w:t>Projection limits further provide a geometric interpretation of measurement and quantum probability. Born-type weighting emerges from dimensional reduction of a normalized 4-dimensional availability distribution onto the Reality Plane, consistent with foundational discussions in quantum theory [8–12].</w:t>
      </w:r>
    </w:p>
    <w:p w14:paraId="00E3A5AE" w14:textId="774DB76A" w:rsidR="00B668A6" w:rsidRPr="00004F82" w:rsidRDefault="00B668A6" w:rsidP="003A5C99">
      <w:pPr>
        <w:pStyle w:val="Heading1"/>
        <w:spacing w:line="276" w:lineRule="auto"/>
      </w:pPr>
      <w:r w:rsidRPr="00004F82">
        <w:t xml:space="preserve">2. </w:t>
      </w:r>
      <w:r>
        <w:t>Formal P</w:t>
      </w:r>
      <w:r w:rsidR="00E36AB4">
        <w:t>LG</w:t>
      </w:r>
      <w:r w:rsidRPr="00004F82">
        <w:t xml:space="preserve"> Framework</w:t>
      </w:r>
    </w:p>
    <w:p w14:paraId="3857B5AA" w14:textId="599437F5" w:rsidR="00B668A6" w:rsidRPr="00004F82" w:rsidRDefault="00B668A6" w:rsidP="003A5C99">
      <w:pPr>
        <w:pStyle w:val="Heading2"/>
        <w:spacing w:line="276" w:lineRule="auto"/>
      </w:pPr>
      <w:r w:rsidRPr="00004F82">
        <w:t xml:space="preserve">2.1 Fundamental Expansion </w:t>
      </w:r>
      <w:r w:rsidR="00D86270">
        <w:t>Postulate</w:t>
      </w:r>
    </w:p>
    <w:p w14:paraId="3A9C31A2" w14:textId="255641AE" w:rsidR="006D3A1E" w:rsidRPr="006D3A1E" w:rsidRDefault="006D3A1E" w:rsidP="006D3A1E">
      <w:pPr>
        <w:spacing w:after="0"/>
        <w:jc w:val="both"/>
        <w:rPr>
          <w:rFonts w:ascii="Times New Roman" w:hAnsi="Times New Roman" w:cs="Times New Roman"/>
        </w:rPr>
      </w:pPr>
      <w:r w:rsidRPr="006D3A1E">
        <w:rPr>
          <w:rFonts w:ascii="Times New Roman" w:hAnsi="Times New Roman" w:cs="Times New Roman"/>
        </w:rPr>
        <w:t xml:space="preserve">PLG </w:t>
      </w:r>
      <w:r w:rsidR="00D62FFA">
        <w:rPr>
          <w:rFonts w:ascii="Times New Roman" w:hAnsi="Times New Roman" w:cs="Times New Roman"/>
        </w:rPr>
        <w:t>postulates</w:t>
      </w:r>
      <w:r w:rsidRPr="006D3A1E">
        <w:rPr>
          <w:rFonts w:ascii="Times New Roman" w:hAnsi="Times New Roman" w:cs="Times New Roman"/>
        </w:rPr>
        <w:t xml:space="preserve"> that the underlying manifold is an isotropic and homogeneous Euclidean 4-space ℝ⁴ with coordinates</w:t>
      </w:r>
      <w:r>
        <w:rPr>
          <w:rFonts w:ascii="Times New Roman" w:hAnsi="Times New Roman" w:cs="Times New Roman"/>
        </w:rPr>
        <w:t>:</w:t>
      </w:r>
    </w:p>
    <w:p w14:paraId="1528F543" w14:textId="57F1BC7D" w:rsidR="006D3A1E" w:rsidRPr="006D3A1E" w:rsidRDefault="006D3A1E" w:rsidP="006D3A1E">
      <w:pPr>
        <w:spacing w:after="0"/>
        <w:ind w:firstLine="720"/>
        <w:jc w:val="both"/>
        <w:rPr>
          <w:rFonts w:ascii="Times New Roman" w:hAnsi="Times New Roman" w:cs="Times New Roman"/>
        </w:rPr>
      </w:pPr>
      <w:r w:rsidRPr="006D3A1E">
        <w:rPr>
          <w:rFonts w:ascii="Times New Roman" w:hAnsi="Times New Roman" w:cs="Times New Roman"/>
        </w:rPr>
        <w:t>(x₁, x₂, x₃, x₄)</w:t>
      </w:r>
    </w:p>
    <w:p w14:paraId="5F55C3E9" w14:textId="24A3BAE6" w:rsidR="006D3A1E" w:rsidRPr="006D3A1E" w:rsidRDefault="006D3A1E" w:rsidP="006D3A1E">
      <w:pPr>
        <w:jc w:val="both"/>
        <w:rPr>
          <w:rFonts w:ascii="Times New Roman" w:hAnsi="Times New Roman" w:cs="Times New Roman"/>
        </w:rPr>
      </w:pPr>
      <w:r w:rsidRPr="006D3A1E">
        <w:rPr>
          <w:rFonts w:ascii="Times New Roman" w:hAnsi="Times New Roman" w:cs="Times New Roman"/>
        </w:rPr>
        <w:t>where x₄ is an additional spatial dimension</w:t>
      </w:r>
      <w:r w:rsidR="000A7BD8">
        <w:rPr>
          <w:rFonts w:ascii="Times New Roman" w:hAnsi="Times New Roman" w:cs="Times New Roman"/>
        </w:rPr>
        <w:t xml:space="preserve"> </w:t>
      </w:r>
      <w:r w:rsidR="000A7BD8" w:rsidRPr="000A7BD8">
        <w:rPr>
          <w:rFonts w:ascii="Times New Roman" w:hAnsi="Times New Roman" w:cs="Times New Roman"/>
        </w:rPr>
        <w:t>that governs relative scale expansion within the manifold.</w:t>
      </w:r>
      <w:r w:rsidRPr="006D3A1E">
        <w:rPr>
          <w:rFonts w:ascii="Times New Roman" w:hAnsi="Times New Roman" w:cs="Times New Roman"/>
        </w:rPr>
        <w:t xml:space="preserve"> For each observer, the Reality Plane is defined locally as a 3-dimensional hypersurface of simultaneity embedded within this invariant geometry. The Plane is orthogonal to that observer’s net progression direction along x₄, so different observers correspond to differently oriented Reality Planes within the same Euclidean manifold.</w:t>
      </w:r>
    </w:p>
    <w:p w14:paraId="7849A0CD" w14:textId="77777777" w:rsidR="006D3A1E" w:rsidRPr="006D3A1E" w:rsidRDefault="006D3A1E" w:rsidP="006D3A1E">
      <w:pPr>
        <w:spacing w:after="0"/>
        <w:jc w:val="both"/>
        <w:rPr>
          <w:rFonts w:ascii="Times New Roman" w:hAnsi="Times New Roman" w:cs="Times New Roman"/>
        </w:rPr>
      </w:pPr>
      <w:r w:rsidRPr="006D3A1E">
        <w:rPr>
          <w:rFonts w:ascii="Times New Roman" w:hAnsi="Times New Roman" w:cs="Times New Roman"/>
        </w:rPr>
        <w:t>Under isotropy of ℝ⁴, any fundamental kinematic constraint must be expressible as a scalar invariant under SO(4) rotations. For a decomposition of a 4-vector into Reality-Plane components v and a normal component u₄, the only quadratic rotational scalar is the Euclidean norm v² + u₄². If the manifold admits a universal vacuum limit for available expansion magnitude, the invariant constraint surface necessarily takes the form:</w:t>
      </w:r>
    </w:p>
    <w:p w14:paraId="3BAACC8A" w14:textId="5DC3CB41" w:rsidR="006D3A1E" w:rsidRPr="006D3A1E" w:rsidRDefault="00D11BFB" w:rsidP="006D3A1E">
      <w:pPr>
        <w:ind w:firstLine="720"/>
        <w:jc w:val="both"/>
        <w:rPr>
          <w:rFonts w:ascii="Times New Roman" w:hAnsi="Times New Roman" w:cs="Times New Roman"/>
        </w:rPr>
      </w:pPr>
      <w:r w:rsidRPr="00D11BFB">
        <w:rPr>
          <w:rFonts w:ascii="Times New Roman" w:eastAsiaTheme="minorEastAsia" w:hAnsi="Times New Roman" w:cs="Times New Roman"/>
        </w:rPr>
        <w:t>v² + u₄² = C₄²</w:t>
      </w:r>
    </w:p>
    <w:p w14:paraId="22758B8C" w14:textId="46D694AD" w:rsidR="006D3A1E" w:rsidRPr="006D3A1E" w:rsidRDefault="006D3A1E" w:rsidP="006D3A1E">
      <w:pPr>
        <w:spacing w:after="0"/>
        <w:jc w:val="both"/>
        <w:rPr>
          <w:rFonts w:ascii="Times New Roman" w:hAnsi="Times New Roman" w:cs="Times New Roman"/>
        </w:rPr>
      </w:pPr>
      <w:r w:rsidRPr="006D3A1E">
        <w:rPr>
          <w:rFonts w:ascii="Times New Roman" w:hAnsi="Times New Roman" w:cs="Times New Roman"/>
        </w:rPr>
        <w:t xml:space="preserve">Let u₄ denote the net progression component along x₄ for a given configuration. Define the total expansion vector </w:t>
      </w:r>
      <w:r w:rsidRPr="006D3A1E">
        <w:rPr>
          <w:rFonts w:ascii="Cambria Math" w:hAnsi="Cambria Math" w:cs="Cambria Math"/>
        </w:rPr>
        <w:t>𝐔</w:t>
      </w:r>
      <w:r w:rsidRPr="006D3A1E">
        <w:rPr>
          <w:rFonts w:ascii="Times New Roman" w:hAnsi="Times New Roman" w:cs="Times New Roman"/>
        </w:rPr>
        <w:t xml:space="preserve"> as</w:t>
      </w:r>
      <w:r>
        <w:rPr>
          <w:rFonts w:ascii="Times New Roman" w:hAnsi="Times New Roman" w:cs="Times New Roman"/>
        </w:rPr>
        <w:t>:</w:t>
      </w:r>
    </w:p>
    <w:p w14:paraId="1277434B" w14:textId="77777777" w:rsidR="006D3A1E" w:rsidRPr="006D3A1E" w:rsidRDefault="006D3A1E" w:rsidP="006D3A1E">
      <w:pPr>
        <w:spacing w:after="0"/>
        <w:ind w:firstLine="720"/>
        <w:jc w:val="both"/>
        <w:rPr>
          <w:rFonts w:ascii="Times New Roman" w:hAnsi="Times New Roman" w:cs="Times New Roman"/>
        </w:rPr>
      </w:pPr>
      <w:r w:rsidRPr="006D3A1E">
        <w:rPr>
          <w:rFonts w:ascii="Cambria Math" w:hAnsi="Cambria Math" w:cs="Cambria Math"/>
        </w:rPr>
        <w:t>𝐔</w:t>
      </w:r>
      <w:r w:rsidRPr="006D3A1E">
        <w:rPr>
          <w:rFonts w:ascii="Times New Roman" w:hAnsi="Times New Roman" w:cs="Times New Roman"/>
        </w:rPr>
        <w:t xml:space="preserve"> = (v₁, v₂, v₃, u₄),</w:t>
      </w:r>
    </w:p>
    <w:p w14:paraId="045D4807" w14:textId="77777777" w:rsidR="006D3A1E" w:rsidRPr="006D3A1E" w:rsidRDefault="006D3A1E" w:rsidP="006D3A1E">
      <w:pPr>
        <w:spacing w:after="0"/>
        <w:jc w:val="both"/>
        <w:rPr>
          <w:rFonts w:ascii="Times New Roman" w:hAnsi="Times New Roman" w:cs="Times New Roman"/>
        </w:rPr>
      </w:pPr>
      <w:r w:rsidRPr="006D3A1E">
        <w:rPr>
          <w:rFonts w:ascii="Times New Roman" w:hAnsi="Times New Roman" w:cs="Times New Roman"/>
        </w:rPr>
        <w:t>with</w:t>
      </w:r>
    </w:p>
    <w:p w14:paraId="09A0D55D" w14:textId="311293AE" w:rsidR="006D3A1E" w:rsidRPr="006D3A1E" w:rsidRDefault="006D3A1E" w:rsidP="006D3A1E">
      <w:pPr>
        <w:ind w:firstLine="720"/>
        <w:jc w:val="both"/>
        <w:rPr>
          <w:rFonts w:ascii="Times New Roman" w:hAnsi="Times New Roman" w:cs="Times New Roman"/>
        </w:rPr>
      </w:pPr>
      <w:r w:rsidRPr="006D3A1E">
        <w:rPr>
          <w:rFonts w:ascii="Times New Roman" w:hAnsi="Times New Roman" w:cs="Times New Roman"/>
        </w:rPr>
        <w:t>v² = v₁² + v₂² + v₃²</w:t>
      </w:r>
    </w:p>
    <w:p w14:paraId="7A2619B0" w14:textId="4AD812F5" w:rsidR="006D3A1E" w:rsidRPr="006D3A1E" w:rsidRDefault="006D3A1E" w:rsidP="006D3A1E">
      <w:pPr>
        <w:spacing w:after="0"/>
        <w:jc w:val="both"/>
        <w:rPr>
          <w:rFonts w:ascii="Times New Roman" w:hAnsi="Times New Roman" w:cs="Times New Roman"/>
        </w:rPr>
      </w:pPr>
      <w:r w:rsidRPr="006D3A1E">
        <w:rPr>
          <w:rFonts w:ascii="Times New Roman" w:hAnsi="Times New Roman" w:cs="Times New Roman"/>
        </w:rPr>
        <w:t xml:space="preserve">The rotationally invariant magnitude of </w:t>
      </w:r>
      <w:r w:rsidRPr="006D3A1E">
        <w:rPr>
          <w:rFonts w:ascii="Cambria Math" w:hAnsi="Cambria Math" w:cs="Cambria Math"/>
        </w:rPr>
        <w:t>𝐔</w:t>
      </w:r>
      <w:r w:rsidRPr="006D3A1E">
        <w:rPr>
          <w:rFonts w:ascii="Times New Roman" w:hAnsi="Times New Roman" w:cs="Times New Roman"/>
        </w:rPr>
        <w:t xml:space="preserve"> therefore satisfies</w:t>
      </w:r>
      <w:r>
        <w:rPr>
          <w:rFonts w:ascii="Times New Roman" w:hAnsi="Times New Roman" w:cs="Times New Roman"/>
        </w:rPr>
        <w:t>:</w:t>
      </w:r>
    </w:p>
    <w:p w14:paraId="22B46B07" w14:textId="5E5C149F" w:rsidR="006D3A1E" w:rsidRPr="006D3A1E" w:rsidRDefault="006D3A1E" w:rsidP="006D3A1E">
      <w:pPr>
        <w:spacing w:after="0"/>
        <w:ind w:firstLine="720"/>
        <w:jc w:val="both"/>
        <w:rPr>
          <w:rFonts w:ascii="Times New Roman" w:hAnsi="Times New Roman" w:cs="Times New Roman"/>
        </w:rPr>
      </w:pPr>
      <w:r w:rsidRPr="006D3A1E">
        <w:rPr>
          <w:rFonts w:ascii="Times New Roman" w:hAnsi="Times New Roman" w:cs="Times New Roman"/>
        </w:rPr>
        <w:t>|</w:t>
      </w:r>
      <w:r w:rsidRPr="006D3A1E">
        <w:rPr>
          <w:rFonts w:ascii="Cambria Math" w:hAnsi="Cambria Math" w:cs="Cambria Math"/>
        </w:rPr>
        <w:t>𝐔</w:t>
      </w:r>
      <w:r w:rsidRPr="006D3A1E">
        <w:rPr>
          <w:rFonts w:ascii="Times New Roman" w:hAnsi="Times New Roman" w:cs="Times New Roman"/>
        </w:rPr>
        <w:t>|² = v² + u₄² = C₄²</w:t>
      </w:r>
    </w:p>
    <w:p w14:paraId="7E7AA935" w14:textId="34927E1C" w:rsidR="006D3A1E" w:rsidRPr="006D3A1E" w:rsidRDefault="006D3A1E" w:rsidP="006D3A1E">
      <w:pPr>
        <w:jc w:val="both"/>
        <w:rPr>
          <w:rFonts w:ascii="Times New Roman" w:hAnsi="Times New Roman" w:cs="Times New Roman"/>
        </w:rPr>
      </w:pPr>
      <w:r w:rsidRPr="006D3A1E">
        <w:rPr>
          <w:rFonts w:ascii="Times New Roman" w:hAnsi="Times New Roman" w:cs="Times New Roman"/>
        </w:rPr>
        <w:t xml:space="preserve">where C₄ is a universal geometric constant representing the maximal available 4-dimensional expansion magnitude in vacuum. Motion within an observer’s Reality Plane redistributes this fixed expansion magnitude between the spatial components and the net progression component u₄. Consequently, changes in observed spatial motion correspond to </w:t>
      </w:r>
      <w:r w:rsidR="006138C6" w:rsidRPr="006138C6">
        <w:rPr>
          <w:rFonts w:ascii="Times New Roman" w:hAnsi="Times New Roman" w:cs="Times New Roman"/>
        </w:rPr>
        <w:t>relational decomposition differences between configurations</w:t>
      </w:r>
      <w:r w:rsidR="006138C6">
        <w:rPr>
          <w:rFonts w:ascii="Times New Roman" w:hAnsi="Times New Roman" w:cs="Times New Roman"/>
        </w:rPr>
        <w:t xml:space="preserve">, </w:t>
      </w:r>
      <w:r w:rsidRPr="006D3A1E">
        <w:rPr>
          <w:rFonts w:ascii="Times New Roman" w:hAnsi="Times New Roman" w:cs="Times New Roman"/>
        </w:rPr>
        <w:t>while preserving the total 4-dimensional expansion invariant.</w:t>
      </w:r>
    </w:p>
    <w:p w14:paraId="754CC258" w14:textId="77777777" w:rsidR="00255BBF" w:rsidRDefault="00255BBF" w:rsidP="00255BBF">
      <w:pPr>
        <w:pStyle w:val="Heading2"/>
      </w:pPr>
      <w:r>
        <w:t>2.2 Local Expansion Metric</w:t>
      </w:r>
    </w:p>
    <w:p w14:paraId="35671055" w14:textId="6CF44A97" w:rsidR="00EB15C3" w:rsidRPr="00EC0493" w:rsidRDefault="00FC03F9" w:rsidP="00FC03F9">
      <w:pPr>
        <w:spacing w:after="0"/>
        <w:jc w:val="both"/>
        <w:rPr>
          <w:rFonts w:ascii="Times New Roman" w:hAnsi="Times New Roman" w:cs="Times New Roman"/>
        </w:rPr>
      </w:pPr>
      <w:r w:rsidRPr="00FC03F9">
        <w:rPr>
          <w:rFonts w:ascii="Times New Roman" w:hAnsi="Times New Roman" w:cs="Times New Roman"/>
        </w:rPr>
        <w:t>To incorporate gravitating systems, let ε(x) denote the locally realised magnitude of the conserved 4-dimensional expansion invariant on ℝ⁴, with dependence on local energy density ρ(x).</w:t>
      </w:r>
      <w:r>
        <w:rPr>
          <w:rFonts w:ascii="Times New Roman" w:hAnsi="Times New Roman" w:cs="Times New Roman"/>
        </w:rPr>
        <w:t xml:space="preserve"> </w:t>
      </w:r>
      <w:r w:rsidR="00255BBF" w:rsidRPr="00EC0493">
        <w:rPr>
          <w:rFonts w:ascii="Times New Roman" w:hAnsi="Times New Roman" w:cs="Times New Roman"/>
        </w:rPr>
        <w:t>The conserved relation becomes:</w:t>
      </w:r>
    </w:p>
    <w:p w14:paraId="61838925" w14:textId="77777777" w:rsidR="00EB15C3" w:rsidRDefault="00255BBF" w:rsidP="00EB15C3">
      <w:pPr>
        <w:spacing w:after="0"/>
        <w:ind w:firstLine="720"/>
        <w:rPr>
          <w:rFonts w:ascii="Times New Roman" w:hAnsi="Times New Roman" w:cs="Times New Roman"/>
        </w:rPr>
      </w:pPr>
      <w:r w:rsidRPr="00EC0493">
        <w:rPr>
          <w:rFonts w:ascii="Times New Roman" w:hAnsi="Times New Roman" w:cs="Times New Roman"/>
        </w:rPr>
        <w:t>|</w:t>
      </w:r>
      <w:r w:rsidRPr="00EC0493">
        <w:rPr>
          <w:rFonts w:ascii="Cambria Math" w:hAnsi="Cambria Math" w:cs="Cambria Math"/>
        </w:rPr>
        <w:t>𝐔</w:t>
      </w:r>
      <w:r w:rsidRPr="00EC0493">
        <w:rPr>
          <w:rFonts w:ascii="Times New Roman" w:hAnsi="Times New Roman" w:cs="Times New Roman"/>
        </w:rPr>
        <w:t>|² = v² + u₄² = ε(x)²</w:t>
      </w:r>
    </w:p>
    <w:p w14:paraId="1A4D53EF" w14:textId="5BEF2A97" w:rsidR="00AC6F49" w:rsidRPr="00EC0493" w:rsidRDefault="00AC6F49" w:rsidP="00277D5C">
      <w:pPr>
        <w:jc w:val="both"/>
        <w:rPr>
          <w:rFonts w:ascii="Times New Roman" w:hAnsi="Times New Roman" w:cs="Times New Roman"/>
        </w:rPr>
      </w:pPr>
      <w:r w:rsidRPr="00AC6F49">
        <w:rPr>
          <w:rFonts w:ascii="Times New Roman" w:hAnsi="Times New Roman" w:cs="Times New Roman"/>
        </w:rPr>
        <w:t>so that ε(x) is the local value of the conserved expansion magnitude.</w:t>
      </w:r>
      <w:r w:rsidR="00277D5C">
        <w:rPr>
          <w:rFonts w:ascii="Times New Roman" w:hAnsi="Times New Roman" w:cs="Times New Roman"/>
        </w:rPr>
        <w:t xml:space="preserve"> </w:t>
      </w:r>
      <w:r w:rsidR="00277D5C" w:rsidRPr="00277D5C">
        <w:rPr>
          <w:rFonts w:ascii="Times New Roman" w:hAnsi="Times New Roman" w:cs="Times New Roman"/>
        </w:rPr>
        <w:t xml:space="preserve">Here ε acts as a local </w:t>
      </w:r>
      <w:r w:rsidR="00E5256A" w:rsidRPr="00E5256A">
        <w:rPr>
          <w:rFonts w:ascii="Times New Roman" w:hAnsi="Times New Roman" w:cs="Times New Roman"/>
        </w:rPr>
        <w:t>expansion magnitude field</w:t>
      </w:r>
      <w:r w:rsidR="00E5256A">
        <w:rPr>
          <w:rFonts w:ascii="Times New Roman" w:hAnsi="Times New Roman" w:cs="Times New Roman"/>
        </w:rPr>
        <w:t xml:space="preserve"> </w:t>
      </w:r>
      <w:r w:rsidR="00277D5C" w:rsidRPr="00277D5C">
        <w:rPr>
          <w:rFonts w:ascii="Times New Roman" w:hAnsi="Times New Roman" w:cs="Times New Roman"/>
        </w:rPr>
        <w:t>governing the relation between spatial projection and x₄ displacement.</w:t>
      </w:r>
    </w:p>
    <w:p w14:paraId="47234951" w14:textId="77777777" w:rsidR="00EB15C3" w:rsidRPr="00EC0493" w:rsidRDefault="00255BBF" w:rsidP="00EB15C3">
      <w:pPr>
        <w:spacing w:after="0"/>
        <w:rPr>
          <w:rFonts w:ascii="Times New Roman" w:hAnsi="Times New Roman" w:cs="Times New Roman"/>
        </w:rPr>
      </w:pPr>
      <w:r w:rsidRPr="00EC0493">
        <w:rPr>
          <w:rFonts w:ascii="Times New Roman" w:hAnsi="Times New Roman" w:cs="Times New Roman"/>
        </w:rPr>
        <w:t>In vacuum, ε → C₄ and</w:t>
      </w:r>
      <w:r w:rsidR="00EB15C3" w:rsidRPr="00EC0493">
        <w:rPr>
          <w:rFonts w:ascii="Times New Roman" w:hAnsi="Times New Roman" w:cs="Times New Roman"/>
        </w:rPr>
        <w:t>:</w:t>
      </w:r>
    </w:p>
    <w:p w14:paraId="7F2B88EE" w14:textId="4E87B478" w:rsidR="00255BBF" w:rsidRPr="00EC0493" w:rsidRDefault="00255BBF" w:rsidP="0093143C">
      <w:pPr>
        <w:ind w:firstLine="720"/>
        <w:rPr>
          <w:rFonts w:ascii="Times New Roman" w:hAnsi="Times New Roman" w:cs="Times New Roman"/>
        </w:rPr>
      </w:pPr>
      <w:r w:rsidRPr="00EC0493">
        <w:rPr>
          <w:rFonts w:ascii="Times New Roman" w:hAnsi="Times New Roman" w:cs="Times New Roman"/>
        </w:rPr>
        <w:t>v² + u₄² = C₄²</w:t>
      </w:r>
    </w:p>
    <w:p w14:paraId="509D3384" w14:textId="77777777" w:rsidR="00EB15C3" w:rsidRPr="00EC0493" w:rsidRDefault="00255BBF" w:rsidP="0093143C">
      <w:pPr>
        <w:pStyle w:val="NormalWeb"/>
        <w:spacing w:before="0" w:beforeAutospacing="0" w:after="0" w:afterAutospacing="0"/>
      </w:pPr>
      <w:r w:rsidRPr="00EC0493">
        <w:t>The limiting behaviour is:</w:t>
      </w:r>
    </w:p>
    <w:p w14:paraId="28E25E4D" w14:textId="0927A2CC" w:rsidR="00255BBF" w:rsidRPr="00EC0493" w:rsidRDefault="00255BBF" w:rsidP="00EB15C3">
      <w:pPr>
        <w:pStyle w:val="NormalWeb"/>
        <w:spacing w:before="0" w:beforeAutospacing="0" w:after="0" w:afterAutospacing="0"/>
        <w:ind w:left="720"/>
      </w:pPr>
      <w:r w:rsidRPr="00EC0493">
        <w:t>ε(x) → C₄ as ρ → 0</w:t>
      </w:r>
      <w:r w:rsidRPr="00EC0493">
        <w:br/>
        <w:t xml:space="preserve">ε(x) → 0 as ρ → </w:t>
      </w:r>
      <w:proofErr w:type="spellStart"/>
      <w:r w:rsidRPr="00EC0493">
        <w:t>ρ_max</w:t>
      </w:r>
      <w:proofErr w:type="spellEnd"/>
    </w:p>
    <w:p w14:paraId="0F4875A9" w14:textId="3D828313" w:rsidR="00255BBF" w:rsidRDefault="000D1D03" w:rsidP="000D1D03">
      <w:pPr>
        <w:pStyle w:val="NormalWeb"/>
        <w:spacing w:after="0" w:afterAutospacing="0"/>
        <w:jc w:val="both"/>
      </w:pPr>
      <w:r w:rsidRPr="000D1D03">
        <w:t xml:space="preserve">Regions of increased density reduce the locally realised expansion magnitude ε(x), modifying u₄ and </w:t>
      </w:r>
      <w:r w:rsidR="00E9193E" w:rsidRPr="00E9193E">
        <w:t>inducing a relational decomposition mismatch relative to neighbouring regions</w:t>
      </w:r>
      <w:r w:rsidRPr="000D1D03">
        <w:t>.</w:t>
      </w:r>
      <w:r>
        <w:t xml:space="preserve"> </w:t>
      </w:r>
      <w:r w:rsidR="00255BBF">
        <w:t>Projection-limit configurations occur at the vacuum boundary:</w:t>
      </w:r>
    </w:p>
    <w:p w14:paraId="69D68505" w14:textId="5D76B597" w:rsidR="00255BBF" w:rsidRDefault="00255BBF" w:rsidP="00EB15C3">
      <w:pPr>
        <w:pStyle w:val="NormalWeb"/>
        <w:spacing w:before="0" w:beforeAutospacing="0"/>
        <w:ind w:left="720"/>
      </w:pPr>
      <w:r>
        <w:t>u₄ → 0</w:t>
      </w:r>
      <w:r>
        <w:br/>
        <w:t>v² → C₄²</w:t>
      </w:r>
    </w:p>
    <w:p w14:paraId="2D82261F" w14:textId="498D8549" w:rsidR="00255BBF" w:rsidRDefault="00255BBF" w:rsidP="00EB15C3">
      <w:pPr>
        <w:pStyle w:val="NormalWeb"/>
      </w:pPr>
      <w:r>
        <w:t>This boundary represents the maximal spatial projection permitted by the conserved expansion invariant.</w:t>
      </w:r>
    </w:p>
    <w:p w14:paraId="74FD333F" w14:textId="77777777" w:rsidR="00255BBF" w:rsidRDefault="00255BBF" w:rsidP="00255BBF">
      <w:pPr>
        <w:pStyle w:val="Heading2"/>
      </w:pPr>
      <w:r>
        <w:t>2.3 Lorentz-Compatible Form</w:t>
      </w:r>
    </w:p>
    <w:p w14:paraId="30A3FCBC" w14:textId="77777777" w:rsidR="00255BBF" w:rsidRDefault="00255BBF" w:rsidP="00EB15C3">
      <w:pPr>
        <w:pStyle w:val="NormalWeb"/>
        <w:spacing w:before="0" w:beforeAutospacing="0" w:after="0" w:afterAutospacing="0"/>
      </w:pPr>
      <w:r>
        <w:t>Let configuration progression be parameterized by a monotonic geometric parameter λ:</w:t>
      </w:r>
    </w:p>
    <w:p w14:paraId="1E239416" w14:textId="1EEA179B" w:rsidR="00255BBF" w:rsidRDefault="00255BBF" w:rsidP="00EB15C3">
      <w:pPr>
        <w:pStyle w:val="NormalWeb"/>
        <w:spacing w:before="0" w:beforeAutospacing="0"/>
        <w:ind w:left="720"/>
      </w:pPr>
      <w:r>
        <w:t>vᵢ = ∂xᵢ / ∂λ</w:t>
      </w:r>
      <w:r>
        <w:br/>
        <w:t>u₄ = ∂x₄ / ∂λ</w:t>
      </w:r>
    </w:p>
    <w:p w14:paraId="55F4D706" w14:textId="77777777" w:rsidR="00255BBF" w:rsidRDefault="00255BBF" w:rsidP="00EB15C3">
      <w:pPr>
        <w:pStyle w:val="NormalWeb"/>
        <w:spacing w:after="0" w:afterAutospacing="0"/>
      </w:pPr>
      <w:r>
        <w:t>In vacuum, |</w:t>
      </w:r>
      <w:r>
        <w:rPr>
          <w:rFonts w:ascii="Cambria Math" w:hAnsi="Cambria Math" w:cs="Cambria Math"/>
        </w:rPr>
        <w:t>𝐔</w:t>
      </w:r>
      <w:r>
        <w:t>| = C₄ implies:</w:t>
      </w:r>
    </w:p>
    <w:p w14:paraId="2CE9E283" w14:textId="274A7BA0" w:rsidR="00255BBF" w:rsidRDefault="00255BBF" w:rsidP="00EB15C3">
      <w:pPr>
        <w:pStyle w:val="NormalWeb"/>
        <w:spacing w:before="0" w:beforeAutospacing="0"/>
        <w:ind w:firstLine="720"/>
      </w:pPr>
      <w:r>
        <w:t>u₄² = C₄² − v²</w:t>
      </w:r>
    </w:p>
    <w:p w14:paraId="28AAA0CC" w14:textId="77777777" w:rsidR="00EB15C3" w:rsidRDefault="00255BBF" w:rsidP="00EB15C3">
      <w:pPr>
        <w:pStyle w:val="NormalWeb"/>
        <w:spacing w:before="0" w:beforeAutospacing="0" w:after="0" w:afterAutospacing="0"/>
      </w:pPr>
      <w:r>
        <w:t>Define:</w:t>
      </w:r>
    </w:p>
    <w:p w14:paraId="556091DD" w14:textId="5C28EA1F" w:rsidR="00255BBF" w:rsidRDefault="00255BBF" w:rsidP="00EB15C3">
      <w:pPr>
        <w:pStyle w:val="NormalWeb"/>
        <w:spacing w:before="0" w:beforeAutospacing="0" w:after="0" w:afterAutospacing="0"/>
        <w:ind w:firstLine="720"/>
      </w:pPr>
      <w:r>
        <w:t>γ = C₄ / u₄</w:t>
      </w:r>
    </w:p>
    <w:p w14:paraId="74C8BEF9" w14:textId="77777777" w:rsidR="00255BBF" w:rsidRDefault="00255BBF" w:rsidP="00EB15C3">
      <w:pPr>
        <w:pStyle w:val="NormalWeb"/>
        <w:spacing w:before="0" w:beforeAutospacing="0" w:after="0" w:afterAutospacing="0"/>
      </w:pPr>
      <w:r>
        <w:t>yielding:</w:t>
      </w:r>
    </w:p>
    <w:p w14:paraId="545341AE" w14:textId="7DF45972" w:rsidR="00255BBF" w:rsidRDefault="00255BBF" w:rsidP="00EB15C3">
      <w:pPr>
        <w:pStyle w:val="NormalWeb"/>
        <w:spacing w:before="0" w:beforeAutospacing="0" w:after="0" w:afterAutospacing="0"/>
        <w:ind w:firstLine="720"/>
      </w:pPr>
      <w:r>
        <w:t>γ = 1 / √(1 − v² / C₄²)</w:t>
      </w:r>
    </w:p>
    <w:p w14:paraId="190B875B" w14:textId="77777777" w:rsidR="00255BBF" w:rsidRDefault="00255BBF" w:rsidP="00255BBF">
      <w:pPr>
        <w:pStyle w:val="NormalWeb"/>
      </w:pPr>
      <w:r>
        <w:t>Thus the Lorentz factor arises directly from conservation of the 4-dimensional expansion magnitude.</w:t>
      </w:r>
    </w:p>
    <w:p w14:paraId="6A546B0C" w14:textId="77777777" w:rsidR="00255BBF" w:rsidRDefault="00255BBF" w:rsidP="00EB15C3">
      <w:pPr>
        <w:pStyle w:val="NormalWeb"/>
        <w:spacing w:after="0" w:afterAutospacing="0"/>
      </w:pPr>
      <w:r>
        <w:t>Define emergent time by:</w:t>
      </w:r>
    </w:p>
    <w:p w14:paraId="439BA604" w14:textId="628C520D" w:rsidR="00255BBF" w:rsidRDefault="00255BBF" w:rsidP="00EB15C3">
      <w:pPr>
        <w:pStyle w:val="NormalWeb"/>
        <w:spacing w:before="0" w:beforeAutospacing="0" w:after="0" w:afterAutospacing="0"/>
        <w:ind w:firstLine="720"/>
      </w:pPr>
      <w:r>
        <w:t>t := x₄ / C₄</w:t>
      </w:r>
    </w:p>
    <w:p w14:paraId="453CCE8E" w14:textId="77777777" w:rsidR="00255BBF" w:rsidRDefault="00255BBF" w:rsidP="000821DA">
      <w:pPr>
        <w:pStyle w:val="NormalWeb"/>
        <w:spacing w:before="0" w:beforeAutospacing="0" w:after="0" w:afterAutospacing="0"/>
      </w:pPr>
      <w:r>
        <w:t>Then:</w:t>
      </w:r>
    </w:p>
    <w:p w14:paraId="48CCF507" w14:textId="17D70C8E" w:rsidR="00255BBF" w:rsidRDefault="00255BBF" w:rsidP="000466E0">
      <w:pPr>
        <w:pStyle w:val="NormalWeb"/>
        <w:spacing w:before="0" w:beforeAutospacing="0" w:after="0" w:afterAutospacing="0"/>
        <w:ind w:firstLine="720"/>
      </w:pPr>
      <w:r>
        <w:t>vᵢ = dxᵢ / dt</w:t>
      </w:r>
    </w:p>
    <w:p w14:paraId="3E81CC51" w14:textId="77777777" w:rsidR="00AE501E" w:rsidRPr="00AE501E" w:rsidRDefault="00255BBF" w:rsidP="00AE501E">
      <w:pPr>
        <w:pStyle w:val="NormalWeb"/>
        <w:spacing w:before="0" w:after="0" w:afterAutospacing="0"/>
        <w:rPr>
          <w:b/>
          <w:bCs/>
        </w:rPr>
      </w:pPr>
      <w:r>
        <w:t>recovering the standard relativistic kinematic relation as a projection consequence of the invariant structure.</w:t>
      </w:r>
      <w:r w:rsidR="00AE501E">
        <w:br/>
      </w:r>
      <w:r w:rsidR="00AE501E">
        <w:br/>
      </w:r>
      <w:r w:rsidR="00AE501E" w:rsidRPr="00AE501E">
        <w:rPr>
          <w:b/>
          <w:bCs/>
        </w:rPr>
        <w:t>Emergent Lorentz Transformations</w:t>
      </w:r>
    </w:p>
    <w:p w14:paraId="62776698" w14:textId="77777777" w:rsidR="00D91440" w:rsidRPr="00D91440" w:rsidRDefault="00D91440" w:rsidP="00D91440">
      <w:pPr>
        <w:jc w:val="both"/>
        <w:rPr>
          <w:rFonts w:ascii="Times New Roman" w:hAnsi="Times New Roman" w:cs="Times New Roman"/>
          <w:lang w:eastAsia="en-GB"/>
        </w:rPr>
      </w:pPr>
      <w:r w:rsidRPr="00D91440">
        <w:rPr>
          <w:rFonts w:ascii="Times New Roman" w:hAnsi="Times New Roman" w:cs="Times New Roman"/>
          <w:lang w:eastAsia="en-GB"/>
        </w:rPr>
        <w:t>The Lorentz transformation relations follow from the rotational symmetry of the Euclidean four-dimensional expansion manifold.</w:t>
      </w:r>
    </w:p>
    <w:p w14:paraId="19A7CB3C" w14:textId="77777777" w:rsidR="00D91440" w:rsidRPr="00D91440" w:rsidRDefault="00D91440" w:rsidP="00D91440">
      <w:pPr>
        <w:spacing w:after="0"/>
        <w:rPr>
          <w:rFonts w:ascii="Times New Roman" w:hAnsi="Times New Roman" w:cs="Times New Roman"/>
          <w:lang w:eastAsia="en-GB"/>
        </w:rPr>
      </w:pPr>
      <w:r w:rsidRPr="00D91440">
        <w:rPr>
          <w:rFonts w:ascii="Times New Roman" w:hAnsi="Times New Roman" w:cs="Times New Roman"/>
          <w:lang w:eastAsia="en-GB"/>
        </w:rPr>
        <w:t>Consider a rotation in the (x, x₄) plane of ℝ⁴:</w:t>
      </w:r>
    </w:p>
    <w:p w14:paraId="06643B85" w14:textId="77777777" w:rsid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 xml:space="preserve">x′ = x </w:t>
      </w:r>
      <w:proofErr w:type="spellStart"/>
      <w:r w:rsidRPr="00D91440">
        <w:rPr>
          <w:rFonts w:ascii="Times New Roman" w:hAnsi="Times New Roman" w:cs="Times New Roman"/>
          <w:lang w:eastAsia="en-GB"/>
        </w:rPr>
        <w:t>cosθ</w:t>
      </w:r>
      <w:proofErr w:type="spellEnd"/>
      <w:r w:rsidRPr="00D91440">
        <w:rPr>
          <w:rFonts w:ascii="Times New Roman" w:hAnsi="Times New Roman" w:cs="Times New Roman"/>
          <w:lang w:eastAsia="en-GB"/>
        </w:rPr>
        <w:t xml:space="preserve"> + x₄ </w:t>
      </w:r>
      <w:proofErr w:type="spellStart"/>
      <w:r w:rsidRPr="00D91440">
        <w:rPr>
          <w:rFonts w:ascii="Times New Roman" w:hAnsi="Times New Roman" w:cs="Times New Roman"/>
          <w:lang w:eastAsia="en-GB"/>
        </w:rPr>
        <w:t>sinθ</w:t>
      </w:r>
      <w:proofErr w:type="spellEnd"/>
    </w:p>
    <w:p w14:paraId="552C737E" w14:textId="4E4C23AC" w:rsidR="00D91440" w:rsidRP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 xml:space="preserve">x₄′ = −x </w:t>
      </w:r>
      <w:proofErr w:type="spellStart"/>
      <w:r w:rsidRPr="00D91440">
        <w:rPr>
          <w:rFonts w:ascii="Times New Roman" w:hAnsi="Times New Roman" w:cs="Times New Roman"/>
          <w:lang w:eastAsia="en-GB"/>
        </w:rPr>
        <w:t>sinθ</w:t>
      </w:r>
      <w:proofErr w:type="spellEnd"/>
      <w:r w:rsidRPr="00D91440">
        <w:rPr>
          <w:rFonts w:ascii="Times New Roman" w:hAnsi="Times New Roman" w:cs="Times New Roman"/>
          <w:lang w:eastAsia="en-GB"/>
        </w:rPr>
        <w:t xml:space="preserve"> + x₄ </w:t>
      </w:r>
      <w:proofErr w:type="spellStart"/>
      <w:r w:rsidRPr="00D91440">
        <w:rPr>
          <w:rFonts w:ascii="Times New Roman" w:hAnsi="Times New Roman" w:cs="Times New Roman"/>
          <w:lang w:eastAsia="en-GB"/>
        </w:rPr>
        <w:t>cosθ</w:t>
      </w:r>
      <w:proofErr w:type="spellEnd"/>
    </w:p>
    <w:p w14:paraId="2557998B" w14:textId="3AEF18D0" w:rsidR="00D91440" w:rsidRPr="00D91440" w:rsidRDefault="00D91440" w:rsidP="00D91440">
      <w:pPr>
        <w:spacing w:after="0"/>
        <w:rPr>
          <w:rFonts w:ascii="Times New Roman" w:hAnsi="Times New Roman" w:cs="Times New Roman"/>
          <w:lang w:eastAsia="en-GB"/>
        </w:rPr>
      </w:pPr>
      <w:r w:rsidRPr="00D91440">
        <w:rPr>
          <w:rFonts w:ascii="Times New Roman" w:hAnsi="Times New Roman" w:cs="Times New Roman"/>
          <w:lang w:eastAsia="en-GB"/>
        </w:rPr>
        <w:t>The conserved expansion invariant is</w:t>
      </w:r>
      <w:r>
        <w:rPr>
          <w:rFonts w:ascii="Times New Roman" w:hAnsi="Times New Roman" w:cs="Times New Roman"/>
          <w:lang w:eastAsia="en-GB"/>
        </w:rPr>
        <w:t>:</w:t>
      </w:r>
    </w:p>
    <w:p w14:paraId="2CAA2B23" w14:textId="77777777" w:rsidR="00D91440" w:rsidRP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v² + u₄² = C₄²</w:t>
      </w:r>
    </w:p>
    <w:p w14:paraId="174595B0" w14:textId="0197B4B7" w:rsidR="00D91440" w:rsidRPr="00D91440" w:rsidRDefault="00D91440" w:rsidP="00D91440">
      <w:pPr>
        <w:spacing w:after="0"/>
        <w:rPr>
          <w:rFonts w:ascii="Times New Roman" w:hAnsi="Times New Roman" w:cs="Times New Roman"/>
          <w:lang w:eastAsia="en-GB"/>
        </w:rPr>
      </w:pPr>
      <w:r w:rsidRPr="00D91440">
        <w:rPr>
          <w:rFonts w:ascii="Times New Roman" w:hAnsi="Times New Roman" w:cs="Times New Roman"/>
          <w:lang w:eastAsia="en-GB"/>
        </w:rPr>
        <w:t>so that</w:t>
      </w:r>
      <w:r>
        <w:rPr>
          <w:rFonts w:ascii="Times New Roman" w:hAnsi="Times New Roman" w:cs="Times New Roman"/>
          <w:lang w:eastAsia="en-GB"/>
        </w:rPr>
        <w:t>:</w:t>
      </w:r>
    </w:p>
    <w:p w14:paraId="638C4EB6" w14:textId="77777777" w:rsidR="00D91440" w:rsidRP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u₄ = C₄ √(1 − v²/C₄²)</w:t>
      </w:r>
    </w:p>
    <w:p w14:paraId="18B48ACA" w14:textId="33FC7918" w:rsidR="00D91440" w:rsidRPr="00D91440" w:rsidRDefault="00D91440" w:rsidP="00D91440">
      <w:pPr>
        <w:spacing w:after="0"/>
        <w:rPr>
          <w:rFonts w:ascii="Times New Roman" w:hAnsi="Times New Roman" w:cs="Times New Roman"/>
          <w:lang w:eastAsia="en-GB"/>
        </w:rPr>
      </w:pPr>
      <w:r w:rsidRPr="00D91440">
        <w:rPr>
          <w:rFonts w:ascii="Times New Roman" w:hAnsi="Times New Roman" w:cs="Times New Roman"/>
          <w:lang w:eastAsia="en-GB"/>
        </w:rPr>
        <w:t>Define emergent time by</w:t>
      </w:r>
      <w:r>
        <w:rPr>
          <w:rFonts w:ascii="Times New Roman" w:hAnsi="Times New Roman" w:cs="Times New Roman"/>
          <w:lang w:eastAsia="en-GB"/>
        </w:rPr>
        <w:t>:</w:t>
      </w:r>
    </w:p>
    <w:p w14:paraId="613D25B9" w14:textId="77777777" w:rsidR="00D91440" w:rsidRP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t := x₄ / C₄</w:t>
      </w:r>
    </w:p>
    <w:p w14:paraId="01DD08D8" w14:textId="77BE526D" w:rsidR="00D91440" w:rsidRPr="00D91440" w:rsidRDefault="00D91440" w:rsidP="00D91440">
      <w:pPr>
        <w:spacing w:after="0"/>
        <w:rPr>
          <w:rFonts w:ascii="Times New Roman" w:hAnsi="Times New Roman" w:cs="Times New Roman"/>
          <w:lang w:eastAsia="en-GB"/>
        </w:rPr>
      </w:pPr>
      <w:r w:rsidRPr="00D91440">
        <w:rPr>
          <w:rFonts w:ascii="Times New Roman" w:hAnsi="Times New Roman" w:cs="Times New Roman"/>
          <w:lang w:eastAsia="en-GB"/>
        </w:rPr>
        <w:t>and introduce the Lorentz factor</w:t>
      </w:r>
      <w:r>
        <w:rPr>
          <w:rFonts w:ascii="Times New Roman" w:hAnsi="Times New Roman" w:cs="Times New Roman"/>
          <w:lang w:eastAsia="en-GB"/>
        </w:rPr>
        <w:t>:</w:t>
      </w:r>
    </w:p>
    <w:p w14:paraId="17A909C2" w14:textId="77777777" w:rsidR="00D91440" w:rsidRPr="00D91440" w:rsidRDefault="00D91440" w:rsidP="00D91440">
      <w:pPr>
        <w:spacing w:after="0"/>
        <w:ind w:firstLine="720"/>
        <w:rPr>
          <w:rFonts w:ascii="Times New Roman" w:hAnsi="Times New Roman" w:cs="Times New Roman"/>
          <w:lang w:eastAsia="en-GB"/>
        </w:rPr>
      </w:pPr>
      <w:r w:rsidRPr="00D91440">
        <w:rPr>
          <w:rFonts w:ascii="Times New Roman" w:hAnsi="Times New Roman" w:cs="Times New Roman"/>
          <w:lang w:eastAsia="en-GB"/>
        </w:rPr>
        <w:t>γ = C₄ / u₄ = 1 / √(1 − v²/C₄²)</w:t>
      </w:r>
    </w:p>
    <w:p w14:paraId="09C70822" w14:textId="77777777" w:rsidR="00457B11" w:rsidRDefault="00457B11" w:rsidP="00457B11">
      <w:pPr>
        <w:spacing w:after="0"/>
        <w:rPr>
          <w:rFonts w:ascii="Times New Roman" w:hAnsi="Times New Roman" w:cs="Times New Roman"/>
          <w:lang w:eastAsia="en-GB"/>
        </w:rPr>
      </w:pPr>
      <w:r w:rsidRPr="00457B11">
        <w:rPr>
          <w:rFonts w:ascii="Times New Roman" w:hAnsi="Times New Roman" w:cs="Times New Roman"/>
          <w:lang w:eastAsia="en-GB"/>
        </w:rPr>
        <w:t xml:space="preserve">Substituting x₄ = </w:t>
      </w:r>
      <w:proofErr w:type="spellStart"/>
      <w:r w:rsidRPr="00457B11">
        <w:rPr>
          <w:rFonts w:ascii="Times New Roman" w:hAnsi="Times New Roman" w:cs="Times New Roman"/>
          <w:lang w:eastAsia="en-GB"/>
        </w:rPr>
        <w:t>C₄t</w:t>
      </w:r>
      <w:proofErr w:type="spellEnd"/>
      <w:r w:rsidRPr="00457B11">
        <w:rPr>
          <w:rFonts w:ascii="Times New Roman" w:hAnsi="Times New Roman" w:cs="Times New Roman"/>
          <w:lang w:eastAsia="en-GB"/>
        </w:rPr>
        <w:t xml:space="preserve"> and identifying the relative frame velocity v yields</w:t>
      </w:r>
      <w:r>
        <w:rPr>
          <w:rFonts w:ascii="Times New Roman" w:hAnsi="Times New Roman" w:cs="Times New Roman"/>
          <w:lang w:eastAsia="en-GB"/>
        </w:rPr>
        <w:t>:</w:t>
      </w:r>
    </w:p>
    <w:p w14:paraId="439FD3D1" w14:textId="3AA93E47" w:rsidR="00D91440" w:rsidRPr="00484F09" w:rsidRDefault="00D91440" w:rsidP="00457B11">
      <w:pPr>
        <w:spacing w:after="0"/>
        <w:ind w:firstLine="720"/>
        <w:rPr>
          <w:rFonts w:ascii="Times New Roman" w:hAnsi="Times New Roman" w:cs="Times New Roman"/>
          <w:lang w:val="fr-FR" w:eastAsia="en-GB"/>
        </w:rPr>
      </w:pPr>
      <w:r w:rsidRPr="00484F09">
        <w:rPr>
          <w:rFonts w:ascii="Times New Roman" w:hAnsi="Times New Roman" w:cs="Times New Roman"/>
          <w:lang w:val="fr-FR" w:eastAsia="en-GB"/>
        </w:rPr>
        <w:t xml:space="preserve">x′ = </w:t>
      </w:r>
      <w:r w:rsidRPr="00D91440">
        <w:rPr>
          <w:rFonts w:ascii="Times New Roman" w:hAnsi="Times New Roman" w:cs="Times New Roman"/>
          <w:lang w:eastAsia="en-GB"/>
        </w:rPr>
        <w:t>γ</w:t>
      </w:r>
      <w:r w:rsidRPr="00484F09">
        <w:rPr>
          <w:rFonts w:ascii="Times New Roman" w:hAnsi="Times New Roman" w:cs="Times New Roman"/>
          <w:lang w:val="fr-FR" w:eastAsia="en-GB"/>
        </w:rPr>
        <w:t>(x − vt)</w:t>
      </w:r>
    </w:p>
    <w:p w14:paraId="658DC068" w14:textId="77777777" w:rsidR="00D91440" w:rsidRPr="00484F09" w:rsidRDefault="00D91440" w:rsidP="00D91440">
      <w:pPr>
        <w:spacing w:after="0"/>
        <w:ind w:firstLine="720"/>
        <w:rPr>
          <w:rFonts w:ascii="Times New Roman" w:hAnsi="Times New Roman" w:cs="Times New Roman"/>
          <w:lang w:val="fr-FR" w:eastAsia="en-GB"/>
        </w:rPr>
      </w:pPr>
      <w:r w:rsidRPr="00484F09">
        <w:rPr>
          <w:rFonts w:ascii="Times New Roman" w:hAnsi="Times New Roman" w:cs="Times New Roman"/>
          <w:lang w:val="fr-FR" w:eastAsia="en-GB"/>
        </w:rPr>
        <w:t xml:space="preserve">t′ = </w:t>
      </w:r>
      <w:r w:rsidRPr="00D91440">
        <w:rPr>
          <w:rFonts w:ascii="Times New Roman" w:hAnsi="Times New Roman" w:cs="Times New Roman"/>
          <w:lang w:eastAsia="en-GB"/>
        </w:rPr>
        <w:t>γ</w:t>
      </w:r>
      <w:r w:rsidRPr="00484F09">
        <w:rPr>
          <w:rFonts w:ascii="Times New Roman" w:hAnsi="Times New Roman" w:cs="Times New Roman"/>
          <w:lang w:val="fr-FR" w:eastAsia="en-GB"/>
        </w:rPr>
        <w:t>(t − vx/C₄²)</w:t>
      </w:r>
    </w:p>
    <w:p w14:paraId="0A1B3A90" w14:textId="77777777" w:rsidR="00D91440" w:rsidRPr="00D91440" w:rsidRDefault="00D91440" w:rsidP="00D91440">
      <w:pPr>
        <w:jc w:val="both"/>
        <w:rPr>
          <w:rFonts w:ascii="Times New Roman" w:hAnsi="Times New Roman" w:cs="Times New Roman"/>
          <w:lang w:eastAsia="en-GB"/>
        </w:rPr>
      </w:pPr>
      <w:r w:rsidRPr="00D91440">
        <w:rPr>
          <w:rFonts w:ascii="Times New Roman" w:hAnsi="Times New Roman" w:cs="Times New Roman"/>
          <w:lang w:eastAsia="en-GB"/>
        </w:rPr>
        <w:t>which are the standard Lorentz transformation equations.</w:t>
      </w:r>
    </w:p>
    <w:p w14:paraId="51A2658D" w14:textId="77777777" w:rsidR="00D91440" w:rsidRPr="00D91440" w:rsidRDefault="00D91440" w:rsidP="00D91440">
      <w:pPr>
        <w:jc w:val="both"/>
        <w:rPr>
          <w:rFonts w:ascii="Times New Roman" w:hAnsi="Times New Roman" w:cs="Times New Roman"/>
          <w:lang w:eastAsia="en-GB"/>
        </w:rPr>
      </w:pPr>
      <w:r w:rsidRPr="00D91440">
        <w:rPr>
          <w:rFonts w:ascii="Times New Roman" w:hAnsi="Times New Roman" w:cs="Times New Roman"/>
          <w:lang w:eastAsia="en-GB"/>
        </w:rPr>
        <w:t>The hyperbolic form arises because the identification t = x₄/C₄ converts the Euclidean rotation into an indefinite metric structure on the projected (</w:t>
      </w:r>
      <w:proofErr w:type="spellStart"/>
      <w:r w:rsidRPr="00D91440">
        <w:rPr>
          <w:rFonts w:ascii="Times New Roman" w:hAnsi="Times New Roman" w:cs="Times New Roman"/>
          <w:lang w:eastAsia="en-GB"/>
        </w:rPr>
        <w:t>ct</w:t>
      </w:r>
      <w:proofErr w:type="spellEnd"/>
      <w:r w:rsidRPr="00D91440">
        <w:rPr>
          <w:rFonts w:ascii="Times New Roman" w:hAnsi="Times New Roman" w:cs="Times New Roman"/>
          <w:lang w:eastAsia="en-GB"/>
        </w:rPr>
        <w:t>, x) coordinates.</w:t>
      </w:r>
    </w:p>
    <w:p w14:paraId="04C83252" w14:textId="43D2CC65" w:rsidR="00255BBF" w:rsidRDefault="00255BBF" w:rsidP="00255BBF">
      <w:pPr>
        <w:pStyle w:val="Heading2"/>
      </w:pPr>
      <w:r>
        <w:t>2.4 Photon Projection-Limit and Clock Relation</w:t>
      </w:r>
    </w:p>
    <w:p w14:paraId="0F3F1DC1" w14:textId="77777777" w:rsidR="00255BBF" w:rsidRDefault="00255BBF" w:rsidP="00EB15C3">
      <w:pPr>
        <w:pStyle w:val="NormalWeb"/>
        <w:spacing w:before="0" w:beforeAutospacing="0" w:after="0" w:afterAutospacing="0"/>
        <w:jc w:val="both"/>
      </w:pPr>
      <w:r>
        <w:t>At the projection-limit boundary in vacuum:</w:t>
      </w:r>
    </w:p>
    <w:p w14:paraId="02DCB27D" w14:textId="77777777" w:rsidR="00EB15C3" w:rsidRDefault="00255BBF" w:rsidP="00EB15C3">
      <w:pPr>
        <w:pStyle w:val="NormalWeb"/>
        <w:spacing w:before="0" w:beforeAutospacing="0" w:after="0" w:afterAutospacing="0"/>
        <w:ind w:left="720"/>
        <w:jc w:val="both"/>
      </w:pPr>
      <w:r>
        <w:t>ε(x) → C₄</w:t>
      </w:r>
    </w:p>
    <w:p w14:paraId="1E93B7A4" w14:textId="504B0790" w:rsidR="00EB15C3" w:rsidRDefault="00255BBF" w:rsidP="00EB15C3">
      <w:pPr>
        <w:pStyle w:val="NormalWeb"/>
        <w:spacing w:before="0" w:beforeAutospacing="0" w:after="0" w:afterAutospacing="0"/>
        <w:ind w:left="720"/>
        <w:jc w:val="both"/>
      </w:pPr>
      <w:r>
        <w:t>u₄ → 0</w:t>
      </w:r>
    </w:p>
    <w:p w14:paraId="4C16AE94" w14:textId="77777777" w:rsidR="00EB15C3" w:rsidRDefault="00255BBF" w:rsidP="00EB15C3">
      <w:pPr>
        <w:pStyle w:val="NormalWeb"/>
        <w:spacing w:before="0" w:beforeAutospacing="0" w:after="240" w:afterAutospacing="0"/>
        <w:ind w:left="720"/>
        <w:jc w:val="both"/>
      </w:pPr>
      <w:r>
        <w:t>v → C₄</w:t>
      </w:r>
    </w:p>
    <w:p w14:paraId="59C995CB" w14:textId="77777777" w:rsidR="00D02F04" w:rsidRDefault="00D02F04" w:rsidP="00EB15C3">
      <w:pPr>
        <w:pStyle w:val="NormalWeb"/>
        <w:jc w:val="both"/>
      </w:pPr>
      <w:r w:rsidRPr="00D02F04">
        <w:t>The photon corresponds to this boundary configuration. It possesses no progression component along x₄ relative to the Reality Plane, and therefore no observer-defined proper progression; consequently, the configuration admits no finite measurable extent relative to any observer-defined metric. Specifically, the photon represents a configuration whose metric relation to observer-defined units becomes unbounded due to the vanishing of its progression component along x₄ (u₄ → 0). The resulting divergence in relative scale is therefore induced by this directional degeneracy rather than by isotropic expansion within ℝ⁴. This does not correspond to progression along x₄, but to a limiting metric relation in which finite comparison to the Reality Plane scale is no longer defined in terms of measurable units.</w:t>
      </w:r>
    </w:p>
    <w:p w14:paraId="3996533E" w14:textId="00E7DB02" w:rsidR="0033046C" w:rsidRDefault="000A7BD8" w:rsidP="00EB15C3">
      <w:pPr>
        <w:pStyle w:val="NormalWeb"/>
        <w:jc w:val="both"/>
      </w:pPr>
      <w:r>
        <w:t>As</w:t>
      </w:r>
      <w:r w:rsidR="0033046C" w:rsidRPr="0033046C">
        <w:t xml:space="preserve"> the invariant expansion magnitude is resolved entirely within the spatial projection sector while the x₄ component vanishes (u₄ → 0, v → C₄), the configuration maintains a fixed </w:t>
      </w:r>
      <w:r w:rsidR="00C56DB4" w:rsidRPr="00C56DB4">
        <w:t>45°</w:t>
      </w:r>
      <w:r w:rsidR="00C56DB4">
        <w:t xml:space="preserve"> </w:t>
      </w:r>
      <w:r w:rsidR="0033046C" w:rsidRPr="0033046C">
        <w:t>geometric orientation between spatial displacement and emergent duration. In this state, the entire expansion magnitude is expressed within the spatial projection sector, establishing c not as a velocity of a particle, but as the invariant ratio of this projection-limit boundary.</w:t>
      </w:r>
    </w:p>
    <w:p w14:paraId="6346562D" w14:textId="7E8B1AF6" w:rsidR="00255BBF" w:rsidRDefault="00255BBF" w:rsidP="00EB15C3">
      <w:pPr>
        <w:pStyle w:val="NormalWeb"/>
        <w:jc w:val="both"/>
      </w:pPr>
      <w:r>
        <w:t>This boundary condition does not represent dynamical transport through space but the geometric limit of the expansion invariant within ℝ⁴. Emergent temporal ordering arises only through intersection of this boundary configuration with an advancing Reality Plane.</w:t>
      </w:r>
    </w:p>
    <w:p w14:paraId="7FEDCA44" w14:textId="2C21232D" w:rsidR="00255BBF" w:rsidRDefault="00C06A9F" w:rsidP="00EB15C3">
      <w:pPr>
        <w:pStyle w:val="NormalWeb"/>
        <w:jc w:val="both"/>
      </w:pPr>
      <w:r w:rsidRPr="00C06A9F">
        <w:t xml:space="preserve">Observation corresponds to projection of the 4D configuration onto the Reality Plane under metric compatibility with ε(x). </w:t>
      </w:r>
      <w:r w:rsidR="00255BBF">
        <w:t>Localisation (collapse) restores finite x₄ anchoring under interaction. The constant C₄ is empirically identified with the invariant speed of light c.</w:t>
      </w:r>
    </w:p>
    <w:p w14:paraId="72F0AF5A" w14:textId="781445B8" w:rsidR="00B50F48" w:rsidRDefault="00A84F6F" w:rsidP="002C6DCF">
      <w:pPr>
        <w:spacing w:after="0" w:line="276" w:lineRule="auto"/>
        <w:jc w:val="both"/>
        <w:rPr>
          <w:rFonts w:ascii="Times New Roman" w:eastAsia="Times New Roman" w:hAnsi="Times New Roman" w:cs="Times New Roman"/>
          <w:kern w:val="0"/>
          <w:lang w:eastAsia="en-GB"/>
          <w14:ligatures w14:val="none"/>
        </w:rPr>
      </w:pPr>
      <w:r w:rsidRPr="00A84F6F">
        <w:rPr>
          <w:rFonts w:ascii="Times New Roman" w:eastAsia="Times New Roman" w:hAnsi="Times New Roman" w:cs="Times New Roman"/>
          <w:kern w:val="0"/>
          <w:lang w:eastAsia="en-GB"/>
          <w14:ligatures w14:val="none"/>
        </w:rPr>
        <w:t xml:space="preserve">In this sense, projection-limit interactions provide the fundamental clock of the framework. Each photon event constitutes a discrete intersection of the Reality Plane with the projection-limit boundary, supplying the elementary </w:t>
      </w:r>
      <w:r w:rsidRPr="00A84F6F">
        <w:rPr>
          <w:rFonts w:ascii="Times New Roman" w:eastAsia="Times New Roman" w:hAnsi="Times New Roman" w:cs="Times New Roman"/>
          <w:i/>
          <w:iCs/>
          <w:kern w:val="0"/>
          <w:lang w:eastAsia="en-GB"/>
          <w14:ligatures w14:val="none"/>
        </w:rPr>
        <w:t>tick</w:t>
      </w:r>
      <w:r>
        <w:rPr>
          <w:rFonts w:ascii="Times New Roman" w:eastAsia="Times New Roman" w:hAnsi="Times New Roman" w:cs="Times New Roman"/>
          <w:i/>
          <w:iCs/>
          <w:kern w:val="0"/>
          <w:lang w:eastAsia="en-GB"/>
          <w14:ligatures w14:val="none"/>
        </w:rPr>
        <w:t xml:space="preserve"> </w:t>
      </w:r>
      <w:r w:rsidRPr="00A84F6F">
        <w:rPr>
          <w:rFonts w:ascii="Times New Roman" w:eastAsia="Times New Roman" w:hAnsi="Times New Roman" w:cs="Times New Roman"/>
          <w:kern w:val="0"/>
          <w:lang w:eastAsia="en-GB"/>
          <w14:ligatures w14:val="none"/>
        </w:rPr>
        <w:t xml:space="preserve">by which emergent temporal ordering </w:t>
      </w:r>
      <w:r w:rsidR="0043537A">
        <w:rPr>
          <w:rFonts w:ascii="Times New Roman" w:eastAsia="Times New Roman" w:hAnsi="Times New Roman" w:cs="Times New Roman"/>
          <w:kern w:val="0"/>
          <w:lang w:eastAsia="en-GB"/>
          <w14:ligatures w14:val="none"/>
        </w:rPr>
        <w:t xml:space="preserve">and the </w:t>
      </w:r>
      <w:r w:rsidR="003133E2">
        <w:rPr>
          <w:rFonts w:ascii="Times New Roman" w:eastAsia="Times New Roman" w:hAnsi="Times New Roman" w:cs="Times New Roman"/>
          <w:kern w:val="0"/>
          <w:lang w:eastAsia="en-GB"/>
          <w14:ligatures w14:val="none"/>
        </w:rPr>
        <w:t>spatial</w:t>
      </w:r>
      <w:r w:rsidR="0043537A">
        <w:rPr>
          <w:rFonts w:ascii="Times New Roman" w:eastAsia="Times New Roman" w:hAnsi="Times New Roman" w:cs="Times New Roman"/>
          <w:kern w:val="0"/>
          <w:lang w:eastAsia="en-GB"/>
          <w14:ligatures w14:val="none"/>
        </w:rPr>
        <w:t xml:space="preserve"> metric are</w:t>
      </w:r>
      <w:r w:rsidRPr="00A84F6F">
        <w:rPr>
          <w:rFonts w:ascii="Times New Roman" w:eastAsia="Times New Roman" w:hAnsi="Times New Roman" w:cs="Times New Roman"/>
          <w:kern w:val="0"/>
          <w:lang w:eastAsia="en-GB"/>
          <w14:ligatures w14:val="none"/>
        </w:rPr>
        <w:t xml:space="preserve"> realised</w:t>
      </w:r>
      <w:r w:rsidR="00E563C5">
        <w:rPr>
          <w:rFonts w:ascii="Times New Roman" w:eastAsia="Times New Roman" w:hAnsi="Times New Roman" w:cs="Times New Roman"/>
          <w:kern w:val="0"/>
          <w:lang w:eastAsia="en-GB"/>
          <w14:ligatures w14:val="none"/>
        </w:rPr>
        <w:t xml:space="preserve"> and calibrated</w:t>
      </w:r>
      <w:r w:rsidRPr="00A84F6F">
        <w:rPr>
          <w:rFonts w:ascii="Times New Roman" w:eastAsia="Times New Roman" w:hAnsi="Times New Roman" w:cs="Times New Roman"/>
          <w:kern w:val="0"/>
          <w:lang w:eastAsia="en-GB"/>
          <w14:ligatures w14:val="none"/>
        </w:rPr>
        <w:t>.</w:t>
      </w:r>
    </w:p>
    <w:p w14:paraId="2EF146FB" w14:textId="77777777" w:rsidR="00E14B7A" w:rsidRDefault="00E14B7A" w:rsidP="009468C8">
      <w:pPr>
        <w:spacing w:after="0" w:line="276" w:lineRule="auto"/>
        <w:rPr>
          <w:rFonts w:ascii="Times New Roman" w:hAnsi="Times New Roman" w:cs="Times New Roman"/>
        </w:rPr>
      </w:pPr>
    </w:p>
    <w:p w14:paraId="78F0CFBC" w14:textId="62F9032C" w:rsidR="009468C8" w:rsidRPr="009468C8" w:rsidRDefault="009468C8" w:rsidP="00100E6B">
      <w:pPr>
        <w:spacing w:after="0"/>
        <w:rPr>
          <w:rFonts w:ascii="Times New Roman" w:hAnsi="Times New Roman" w:cs="Times New Roman"/>
          <w:b/>
          <w:bCs/>
        </w:rPr>
      </w:pPr>
      <w:r w:rsidRPr="009468C8">
        <w:rPr>
          <w:rFonts w:ascii="Times New Roman" w:hAnsi="Times New Roman" w:cs="Times New Roman"/>
          <w:b/>
          <w:bCs/>
        </w:rPr>
        <w:t>Geometric Invariance Under Observer Change</w:t>
      </w:r>
    </w:p>
    <w:p w14:paraId="625EC5CB" w14:textId="77777777" w:rsidR="0011793C" w:rsidRPr="0011793C" w:rsidRDefault="0011793C" w:rsidP="0011793C">
      <w:pPr>
        <w:spacing w:line="276" w:lineRule="auto"/>
        <w:jc w:val="both"/>
        <w:rPr>
          <w:rFonts w:ascii="Times New Roman" w:hAnsi="Times New Roman" w:cs="Times New Roman"/>
        </w:rPr>
      </w:pPr>
      <w:r w:rsidRPr="0011793C">
        <w:rPr>
          <w:rFonts w:ascii="Times New Roman" w:hAnsi="Times New Roman" w:cs="Times New Roman"/>
        </w:rPr>
        <w:t>To clarify invariance, distinguish intrinsic geometry from transported kinematics.</w:t>
      </w:r>
    </w:p>
    <w:p w14:paraId="68D6FB00" w14:textId="77777777" w:rsidR="0011793C" w:rsidRPr="0011793C" w:rsidRDefault="0011793C" w:rsidP="000821DA">
      <w:pPr>
        <w:spacing w:line="276" w:lineRule="auto"/>
        <w:jc w:val="both"/>
        <w:rPr>
          <w:rFonts w:ascii="Times New Roman" w:hAnsi="Times New Roman" w:cs="Times New Roman"/>
        </w:rPr>
      </w:pPr>
      <w:r w:rsidRPr="0011793C">
        <w:rPr>
          <w:rFonts w:ascii="Times New Roman" w:hAnsi="Times New Roman" w:cs="Times New Roman"/>
        </w:rPr>
        <w:t>A projectile fired at 45° changes apparent angle under relative motion because its velocity components transform. A rigid rod fixed at 45°, however, retains its geometric orientation under uniform translation. This distinction separates dynamical transport from intrinsic structure.</w:t>
      </w:r>
    </w:p>
    <w:p w14:paraId="1A680B50" w14:textId="77777777" w:rsidR="0011793C" w:rsidRPr="0011793C" w:rsidRDefault="0011793C" w:rsidP="0011793C">
      <w:pPr>
        <w:spacing w:after="0" w:line="276" w:lineRule="auto"/>
        <w:jc w:val="both"/>
        <w:rPr>
          <w:rFonts w:ascii="Times New Roman" w:hAnsi="Times New Roman" w:cs="Times New Roman"/>
        </w:rPr>
      </w:pPr>
      <w:r w:rsidRPr="0011793C">
        <w:rPr>
          <w:rFonts w:ascii="Times New Roman" w:hAnsi="Times New Roman" w:cs="Times New Roman"/>
        </w:rPr>
        <w:t>In PLG, a photon corresponds to a fixed 4-dimensional projection-limit configuration satisfying:</w:t>
      </w:r>
    </w:p>
    <w:p w14:paraId="48512BD6" w14:textId="77777777" w:rsidR="0011793C" w:rsidRDefault="0011793C" w:rsidP="0011793C">
      <w:pPr>
        <w:spacing w:after="0" w:line="276" w:lineRule="auto"/>
        <w:ind w:firstLine="720"/>
        <w:jc w:val="both"/>
        <w:rPr>
          <w:rFonts w:ascii="Times New Roman" w:hAnsi="Times New Roman" w:cs="Times New Roman"/>
        </w:rPr>
      </w:pPr>
      <w:r w:rsidRPr="0011793C">
        <w:rPr>
          <w:rFonts w:ascii="Times New Roman" w:hAnsi="Times New Roman" w:cs="Times New Roman"/>
        </w:rPr>
        <w:t>v² + u₄² = C₄²</w:t>
      </w:r>
    </w:p>
    <w:p w14:paraId="2486CD83" w14:textId="6D38312A" w:rsidR="0011793C" w:rsidRPr="0011793C" w:rsidRDefault="0011793C" w:rsidP="0011793C">
      <w:pPr>
        <w:spacing w:line="276" w:lineRule="auto"/>
        <w:ind w:firstLine="720"/>
        <w:jc w:val="both"/>
        <w:rPr>
          <w:rFonts w:ascii="Times New Roman" w:hAnsi="Times New Roman" w:cs="Times New Roman"/>
        </w:rPr>
      </w:pPr>
      <w:r w:rsidRPr="0011793C">
        <w:rPr>
          <w:rFonts w:ascii="Times New Roman" w:hAnsi="Times New Roman" w:cs="Times New Roman"/>
        </w:rPr>
        <w:t>u₄ → 0</w:t>
      </w:r>
    </w:p>
    <w:p w14:paraId="20FDA6B4" w14:textId="77777777" w:rsidR="0011793C" w:rsidRDefault="0011793C" w:rsidP="0011793C">
      <w:pPr>
        <w:spacing w:line="276" w:lineRule="auto"/>
        <w:jc w:val="both"/>
        <w:rPr>
          <w:rFonts w:ascii="Times New Roman" w:hAnsi="Times New Roman" w:cs="Times New Roman"/>
        </w:rPr>
      </w:pPr>
      <w:r w:rsidRPr="0011793C">
        <w:rPr>
          <w:rFonts w:ascii="Times New Roman" w:hAnsi="Times New Roman" w:cs="Times New Roman"/>
        </w:rPr>
        <w:t>Changing observer velocity corresponds to reorientation of the observer’s Reality Plane within the invariant Euclidean manifold. This modifies only the decomposition of the expansion vector, not the invariant magnitude C₄ nor the boundary condition u₄ → 0. All inertial observers therefore project the same limiting spatial magnitude v = C₄.</w:t>
      </w:r>
    </w:p>
    <w:p w14:paraId="6B28B67D" w14:textId="717B4471" w:rsidR="0011793C" w:rsidRPr="0011793C" w:rsidRDefault="0011793C" w:rsidP="0011793C">
      <w:pPr>
        <w:spacing w:after="0" w:line="276" w:lineRule="auto"/>
        <w:jc w:val="both"/>
        <w:rPr>
          <w:rFonts w:ascii="Times New Roman" w:hAnsi="Times New Roman" w:cs="Times New Roman"/>
        </w:rPr>
      </w:pPr>
      <w:r w:rsidRPr="0011793C">
        <w:rPr>
          <w:rFonts w:ascii="Times New Roman" w:hAnsi="Times New Roman" w:cs="Times New Roman"/>
        </w:rPr>
        <w:t>Spatial displacement arises from projection onto the Reality Plane, while emergent duration arises from displacement along x₄. Because both derive from the same invariant decomposition, their ratio remains fixed:</w:t>
      </w:r>
    </w:p>
    <w:p w14:paraId="13EDCA68" w14:textId="4A57A116" w:rsidR="0011793C" w:rsidRPr="0011793C" w:rsidRDefault="0011793C" w:rsidP="0011793C">
      <w:pPr>
        <w:spacing w:line="276" w:lineRule="auto"/>
        <w:ind w:firstLine="720"/>
        <w:jc w:val="both"/>
        <w:rPr>
          <w:rFonts w:ascii="Times New Roman" w:hAnsi="Times New Roman" w:cs="Times New Roman"/>
        </w:rPr>
      </w:pPr>
      <w:r w:rsidRPr="0011793C">
        <w:rPr>
          <w:rFonts w:ascii="Times New Roman" w:hAnsi="Times New Roman" w:cs="Times New Roman"/>
        </w:rPr>
        <w:t>c = (projected spatial displacement) / (emergent duration)</w:t>
      </w:r>
    </w:p>
    <w:p w14:paraId="247AA7F6" w14:textId="77777777" w:rsidR="0011793C" w:rsidRPr="0011793C" w:rsidRDefault="0011793C" w:rsidP="0011793C">
      <w:pPr>
        <w:spacing w:after="0" w:line="276" w:lineRule="auto"/>
        <w:jc w:val="both"/>
        <w:rPr>
          <w:rFonts w:ascii="Times New Roman" w:hAnsi="Times New Roman" w:cs="Times New Roman"/>
        </w:rPr>
      </w:pPr>
      <w:r w:rsidRPr="0011793C">
        <w:rPr>
          <w:rFonts w:ascii="Times New Roman" w:hAnsi="Times New Roman" w:cs="Times New Roman"/>
        </w:rPr>
        <w:t>The constancy of c therefore follows from the geometry of the conserved expansion invariant rather than from a separate postulate.</w:t>
      </w:r>
    </w:p>
    <w:p w14:paraId="19F2EFDB" w14:textId="77777777" w:rsidR="00B03CE8" w:rsidRPr="00004F82" w:rsidRDefault="00B03CE8" w:rsidP="003A5C99">
      <w:pPr>
        <w:spacing w:after="0" w:line="276" w:lineRule="auto"/>
        <w:jc w:val="both"/>
        <w:rPr>
          <w:rFonts w:ascii="Times New Roman" w:hAnsi="Times New Roman" w:cs="Times New Roman"/>
        </w:rPr>
      </w:pPr>
    </w:p>
    <w:p w14:paraId="2EFD1723" w14:textId="4B95B4DB" w:rsidR="00F62CA9" w:rsidRPr="00F62CA9" w:rsidRDefault="00E54854" w:rsidP="003A5C99">
      <w:pPr>
        <w:pStyle w:val="Heading1"/>
        <w:spacing w:before="0" w:line="276" w:lineRule="auto"/>
        <w:jc w:val="both"/>
      </w:pPr>
      <w:r>
        <w:t>3</w:t>
      </w:r>
      <w:r w:rsidR="00F62CA9" w:rsidRPr="00F62CA9">
        <w:t>. Relativistic Consistency</w:t>
      </w:r>
      <w:r w:rsidR="00E528A6">
        <w:t xml:space="preserve"> and </w:t>
      </w:r>
      <w:r w:rsidR="007456DF">
        <w:t>Comparison</w:t>
      </w:r>
    </w:p>
    <w:p w14:paraId="5605439A" w14:textId="77777777" w:rsidR="00FC0A35" w:rsidRPr="00FC0A35" w:rsidRDefault="00FC0A35" w:rsidP="00FC0A35">
      <w:pPr>
        <w:spacing w:after="0"/>
        <w:jc w:val="both"/>
        <w:rPr>
          <w:rFonts w:ascii="Times New Roman" w:hAnsi="Times New Roman" w:cs="Times New Roman"/>
        </w:rPr>
      </w:pPr>
      <w:r w:rsidRPr="00FC0A35">
        <w:rPr>
          <w:rFonts w:ascii="Times New Roman" w:hAnsi="Times New Roman" w:cs="Times New Roman"/>
        </w:rPr>
        <w:t>PLG does not identify Lorentz boosts with Euclidean rotations within a Lorentzian metric. Euclidean rotations preserve a positive-definite metric, whereas Lorentz transformations preserve a pseudo-metric. In PLG, rotations occur in the underlying 4-dimensional expansion space, preserving the invariant relation:</w:t>
      </w:r>
    </w:p>
    <w:p w14:paraId="3512EF4C" w14:textId="59E7F3C9" w:rsidR="00FC0A35" w:rsidRPr="00FC0A35" w:rsidRDefault="00FC0A35" w:rsidP="00CF3C2F">
      <w:pPr>
        <w:spacing w:after="0"/>
        <w:ind w:firstLine="720"/>
        <w:jc w:val="both"/>
        <w:rPr>
          <w:rFonts w:ascii="Times New Roman" w:hAnsi="Times New Roman" w:cs="Times New Roman"/>
        </w:rPr>
      </w:pPr>
      <w:r w:rsidRPr="00FC0A35">
        <w:rPr>
          <w:rFonts w:ascii="Times New Roman" w:hAnsi="Times New Roman" w:cs="Times New Roman"/>
        </w:rPr>
        <w:t>v² + u₄² = C₄²</w:t>
      </w:r>
      <w:r w:rsidR="00CF3C2F">
        <w:rPr>
          <w:rFonts w:ascii="Times New Roman" w:hAnsi="Times New Roman" w:cs="Times New Roman"/>
        </w:rPr>
        <w:t xml:space="preserve"> </w:t>
      </w:r>
      <w:r w:rsidRPr="00FC0A35">
        <w:rPr>
          <w:rFonts w:ascii="Times New Roman" w:hAnsi="Times New Roman" w:cs="Times New Roman"/>
        </w:rPr>
        <w:t>(see Fig. 1)</w:t>
      </w:r>
    </w:p>
    <w:p w14:paraId="327308A8" w14:textId="77777777" w:rsidR="00FC0A35" w:rsidRPr="00FC0A35" w:rsidRDefault="00FC0A35" w:rsidP="00FC0A35">
      <w:pPr>
        <w:jc w:val="both"/>
        <w:rPr>
          <w:rFonts w:ascii="Times New Roman" w:hAnsi="Times New Roman" w:cs="Times New Roman"/>
        </w:rPr>
      </w:pPr>
      <w:r w:rsidRPr="00FC0A35">
        <w:rPr>
          <w:rFonts w:ascii="Times New Roman" w:hAnsi="Times New Roman" w:cs="Times New Roman"/>
        </w:rPr>
        <w:t>Lorentz covariance emerges only after projection of this invariant 4-dimensional geometry onto an observer’s Reality Plane.</w:t>
      </w:r>
    </w:p>
    <w:p w14:paraId="021FEAE7" w14:textId="6C96ACCE" w:rsidR="00FC0A35" w:rsidRPr="00FC0A35" w:rsidRDefault="00FC0A35" w:rsidP="00FC0A35">
      <w:pPr>
        <w:jc w:val="both"/>
        <w:rPr>
          <w:rFonts w:ascii="Times New Roman" w:hAnsi="Times New Roman" w:cs="Times New Roman"/>
        </w:rPr>
      </w:pPr>
      <w:r w:rsidRPr="00FC0A35">
        <w:rPr>
          <w:rFonts w:ascii="Times New Roman" w:hAnsi="Times New Roman" w:cs="Times New Roman"/>
        </w:rPr>
        <w:t>In special relativity, invariance of c is imposed through null worldlines in Minkowski spacetime [1–</w:t>
      </w:r>
      <w:r w:rsidR="00F06493">
        <w:rPr>
          <w:rFonts w:ascii="Times New Roman" w:hAnsi="Times New Roman" w:cs="Times New Roman"/>
        </w:rPr>
        <w:t>3</w:t>
      </w:r>
      <w:r w:rsidRPr="00FC0A35">
        <w:rPr>
          <w:rFonts w:ascii="Times New Roman" w:hAnsi="Times New Roman" w:cs="Times New Roman"/>
        </w:rPr>
        <w:t>]. In PLG, photon propagation is interpreted instead as projection of a fixed 4-dimensional boundary configuration. The photon admits no finite displacement along x₄ (u₄ → 0) and therefore no proper progression. Relative motion alters only how the observer’s Reality Plane intersects this invariant geometry.</w:t>
      </w:r>
    </w:p>
    <w:p w14:paraId="1D83598A" w14:textId="77777777" w:rsidR="00FC0A35" w:rsidRPr="00FC0A35" w:rsidRDefault="00FC0A35" w:rsidP="00FC0A35">
      <w:pPr>
        <w:spacing w:after="0"/>
        <w:jc w:val="both"/>
        <w:rPr>
          <w:rFonts w:ascii="Times New Roman" w:hAnsi="Times New Roman" w:cs="Times New Roman"/>
        </w:rPr>
      </w:pPr>
      <w:r w:rsidRPr="00FC0A35">
        <w:rPr>
          <w:rFonts w:ascii="Times New Roman" w:hAnsi="Times New Roman" w:cs="Times New Roman"/>
        </w:rPr>
        <w:t>The observer’s expansion vector:</w:t>
      </w:r>
    </w:p>
    <w:p w14:paraId="530ED0C3" w14:textId="2DB53FEE" w:rsidR="00FC0A35" w:rsidRPr="00FC0A35" w:rsidRDefault="00FC0A35" w:rsidP="00FC0A35">
      <w:pPr>
        <w:spacing w:after="0"/>
        <w:ind w:firstLine="720"/>
        <w:jc w:val="both"/>
        <w:rPr>
          <w:rFonts w:ascii="Times New Roman" w:hAnsi="Times New Roman" w:cs="Times New Roman"/>
        </w:rPr>
      </w:pPr>
      <w:r w:rsidRPr="00FC0A35">
        <w:rPr>
          <w:rFonts w:ascii="Cambria Math" w:hAnsi="Cambria Math" w:cs="Cambria Math"/>
        </w:rPr>
        <w:t>𝐔</w:t>
      </w:r>
      <w:r w:rsidRPr="00FC0A35">
        <w:rPr>
          <w:rFonts w:ascii="Times New Roman" w:hAnsi="Times New Roman" w:cs="Times New Roman"/>
        </w:rPr>
        <w:t xml:space="preserve"> = (vₓ, vᵧ, </w:t>
      </w:r>
      <w:proofErr w:type="spellStart"/>
      <w:r w:rsidRPr="00FC0A35">
        <w:rPr>
          <w:rFonts w:ascii="Times New Roman" w:hAnsi="Times New Roman" w:cs="Times New Roman"/>
        </w:rPr>
        <w:t>v</w:t>
      </w:r>
      <w:r w:rsidRPr="00E73274">
        <w:rPr>
          <w:rFonts w:ascii="Times New Roman" w:hAnsi="Times New Roman" w:cs="Times New Roman"/>
          <w:sz w:val="16"/>
          <w:szCs w:val="16"/>
        </w:rPr>
        <w:t>z</w:t>
      </w:r>
      <w:proofErr w:type="spellEnd"/>
      <w:r w:rsidRPr="00FC0A35">
        <w:rPr>
          <w:rFonts w:ascii="Times New Roman" w:hAnsi="Times New Roman" w:cs="Times New Roman"/>
        </w:rPr>
        <w:t>, u₄)</w:t>
      </w:r>
    </w:p>
    <w:p w14:paraId="7A6B9A35" w14:textId="77777777" w:rsidR="00FC0A35" w:rsidRPr="00FC0A35" w:rsidRDefault="00FC0A35" w:rsidP="00FC0A35">
      <w:pPr>
        <w:spacing w:after="0"/>
        <w:jc w:val="both"/>
        <w:rPr>
          <w:rFonts w:ascii="Times New Roman" w:hAnsi="Times New Roman" w:cs="Times New Roman"/>
        </w:rPr>
      </w:pPr>
      <w:r w:rsidRPr="00FC0A35">
        <w:rPr>
          <w:rFonts w:ascii="Times New Roman" w:hAnsi="Times New Roman" w:cs="Times New Roman"/>
        </w:rPr>
        <w:t>satisfies:</w:t>
      </w:r>
    </w:p>
    <w:p w14:paraId="0D07ED80" w14:textId="53F35A5C" w:rsidR="00FC0A35" w:rsidRPr="00FC0A35" w:rsidRDefault="00FC0A35" w:rsidP="00CF3C2F">
      <w:pPr>
        <w:ind w:firstLine="720"/>
        <w:jc w:val="both"/>
        <w:rPr>
          <w:rFonts w:ascii="Times New Roman" w:hAnsi="Times New Roman" w:cs="Times New Roman"/>
        </w:rPr>
      </w:pPr>
      <w:r w:rsidRPr="00FC0A35">
        <w:rPr>
          <w:rFonts w:ascii="Times New Roman" w:hAnsi="Times New Roman" w:cs="Times New Roman"/>
        </w:rPr>
        <w:t>v² + u₄² = C₄²</w:t>
      </w:r>
    </w:p>
    <w:p w14:paraId="042EFFED" w14:textId="77777777" w:rsidR="00FC0A35" w:rsidRPr="00FC0A35" w:rsidRDefault="00FC0A35" w:rsidP="00FC0A35">
      <w:pPr>
        <w:jc w:val="both"/>
        <w:rPr>
          <w:rFonts w:ascii="Times New Roman" w:hAnsi="Times New Roman" w:cs="Times New Roman"/>
        </w:rPr>
      </w:pPr>
      <w:r w:rsidRPr="00FC0A35">
        <w:rPr>
          <w:rFonts w:ascii="Times New Roman" w:hAnsi="Times New Roman" w:cs="Times New Roman"/>
        </w:rPr>
        <w:t>Increasing 3-velocity reduces u₄ while preserving the invariant magnitude C₄. The observer’s Reality Plane remains fixed relative to themselves; it is the decomposition axes that reorient under projection. This reproduces the relational effects attributed in special relativity to simultaneity shifts (see Fig. 2).</w:t>
      </w:r>
    </w:p>
    <w:p w14:paraId="1A1CD1F6" w14:textId="0F16A1C7" w:rsidR="00FC0A35" w:rsidRPr="00FC0A35" w:rsidRDefault="008A6428" w:rsidP="00FC0A35">
      <w:pPr>
        <w:jc w:val="both"/>
        <w:rPr>
          <w:rFonts w:ascii="Times New Roman" w:hAnsi="Times New Roman" w:cs="Times New Roman"/>
        </w:rPr>
      </w:pPr>
      <w:r>
        <w:rPr>
          <w:rFonts w:ascii="Times New Roman" w:hAnsi="Times New Roman" w:cs="Times New Roman"/>
        </w:rPr>
        <w:t xml:space="preserve">As </w:t>
      </w:r>
      <w:r w:rsidR="00FC0A35" w:rsidRPr="00FC0A35">
        <w:rPr>
          <w:rFonts w:ascii="Times New Roman" w:hAnsi="Times New Roman" w:cs="Times New Roman"/>
        </w:rPr>
        <w:t>the photon is defined by the invariant boundary u₄ → 0 rather than by a coordinate-dependent slope, all inertial observers project the same limiting spatial magnitude C₄. The constancy of c therefore follows from the geometry of the conserved 4-dimensional expansion invariant (Fig. 1), rather than from velocity-addition rules.</w:t>
      </w:r>
    </w:p>
    <w:p w14:paraId="7E083071" w14:textId="55446058" w:rsidR="00982855" w:rsidRPr="00572E57" w:rsidRDefault="00982855" w:rsidP="008A6428">
      <w:pPr>
        <w:jc w:val="both"/>
        <w:rPr>
          <w:rFonts w:ascii="Times New Roman" w:hAnsi="Times New Roman" w:cs="Times New Roman"/>
          <w:b/>
          <w:bCs/>
        </w:rPr>
      </w:pPr>
      <w:r w:rsidRPr="00982855">
        <w:rPr>
          <w:rFonts w:ascii="Times New Roman" w:hAnsi="Times New Roman" w:cs="Times New Roman"/>
          <w:b/>
          <w:bCs/>
        </w:rPr>
        <w:t>Figure 1.</w:t>
      </w:r>
      <w:r w:rsidRPr="00982855">
        <w:rPr>
          <w:rFonts w:ascii="Times New Roman" w:hAnsi="Times New Roman" w:cs="Times New Roman"/>
        </w:rPr>
        <w:t xml:space="preserve"> Illustration of the conserved </w:t>
      </w:r>
      <w:r w:rsidR="006A42CF">
        <w:rPr>
          <w:rFonts w:ascii="Times New Roman" w:hAnsi="Times New Roman" w:cs="Times New Roman"/>
        </w:rPr>
        <w:t>4-dimensional</w:t>
      </w:r>
      <w:r w:rsidRPr="00982855">
        <w:rPr>
          <w:rFonts w:ascii="Times New Roman" w:hAnsi="Times New Roman" w:cs="Times New Roman"/>
        </w:rPr>
        <w:t xml:space="preserve"> expansion invariant</w:t>
      </w:r>
      <w:r>
        <w:rPr>
          <w:rFonts w:ascii="Times New Roman" w:hAnsi="Times New Roman" w:cs="Times New Roman"/>
        </w:rPr>
        <w:t xml:space="preserve"> </w:t>
      </w:r>
      <w:r w:rsidRPr="00982855">
        <w:rPr>
          <w:rFonts w:ascii="Times New Roman" w:hAnsi="Times New Roman" w:cs="Times New Roman"/>
        </w:rPr>
        <w:t>v² + u₄² = C₄²,</w:t>
      </w:r>
      <w:r w:rsidR="003A5C99">
        <w:rPr>
          <w:rFonts w:ascii="Times New Roman" w:hAnsi="Times New Roman" w:cs="Times New Roman"/>
        </w:rPr>
        <w:t xml:space="preserve"> </w:t>
      </w:r>
      <w:r w:rsidRPr="00982855">
        <w:rPr>
          <w:rFonts w:ascii="Times New Roman" w:hAnsi="Times New Roman" w:cs="Times New Roman"/>
        </w:rPr>
        <w:t xml:space="preserve">which is independent of the observer’s inertial frame. Each observer’s Reality Plane has a distinct orientation determined by its </w:t>
      </w:r>
      <w:r w:rsidR="00601F8B">
        <w:rPr>
          <w:rFonts w:ascii="Times New Roman" w:hAnsi="Times New Roman" w:cs="Times New Roman"/>
        </w:rPr>
        <w:t>4</w:t>
      </w:r>
      <w:r w:rsidRPr="00982855">
        <w:rPr>
          <w:rFonts w:ascii="Times New Roman" w:hAnsi="Times New Roman" w:cs="Times New Roman"/>
        </w:rPr>
        <w:t>-velocity, corresponding to a rotation within the Euclidean 4D manifold, while the magnitude of the expansion invariant remains unchanged.</w:t>
      </w:r>
      <w:r w:rsidR="003A5C99">
        <w:rPr>
          <w:rFonts w:ascii="Times New Roman" w:hAnsi="Times New Roman" w:cs="Times New Roman"/>
        </w:rPr>
        <w:t xml:space="preserve"> </w:t>
      </w:r>
      <w:r w:rsidR="00DD1CB7" w:rsidRPr="00DD1CB7">
        <w:rPr>
          <w:rFonts w:ascii="Times New Roman" w:hAnsi="Times New Roman" w:cs="Times New Roman"/>
        </w:rPr>
        <w:t>A photon corresponds to the projection-limit boundary defined by u₄ → 0 under the invariant constraint v² + u₄² = C₄². This boundary represents the maximal spatial projection permitted by the conserved expansion magnitude.</w:t>
      </w:r>
      <w:r w:rsidR="000D6F58">
        <w:rPr>
          <w:rFonts w:ascii="Times New Roman" w:hAnsi="Times New Roman" w:cs="Times New Roman"/>
        </w:rPr>
        <w:t xml:space="preserve"> </w:t>
      </w:r>
      <w:r w:rsidRPr="00982855">
        <w:rPr>
          <w:rFonts w:ascii="Times New Roman" w:hAnsi="Times New Roman" w:cs="Times New Roman"/>
        </w:rPr>
        <w:t xml:space="preserve">When this invariant geometry is projected onto any observer’s Reality Plane, it </w:t>
      </w:r>
      <w:r w:rsidR="001D4942" w:rsidRPr="001D4942">
        <w:rPr>
          <w:rFonts w:ascii="Times New Roman" w:hAnsi="Times New Roman" w:cs="Times New Roman"/>
        </w:rPr>
        <w:t>produc</w:t>
      </w:r>
      <w:r w:rsidR="009B751E">
        <w:rPr>
          <w:rFonts w:ascii="Times New Roman" w:hAnsi="Times New Roman" w:cs="Times New Roman"/>
        </w:rPr>
        <w:t>es</w:t>
      </w:r>
      <w:r w:rsidR="001D4942" w:rsidRPr="001D4942">
        <w:rPr>
          <w:rFonts w:ascii="Times New Roman" w:hAnsi="Times New Roman" w:cs="Times New Roman"/>
        </w:rPr>
        <w:t xml:space="preserve"> the projected 3-dimensional intercept v = C₄ under the observer’s decomposition</w:t>
      </w:r>
      <w:r w:rsidR="001D4942">
        <w:rPr>
          <w:rFonts w:ascii="Times New Roman" w:hAnsi="Times New Roman" w:cs="Times New Roman"/>
        </w:rPr>
        <w:t xml:space="preserve">. </w:t>
      </w:r>
      <w:r w:rsidRPr="00982855">
        <w:rPr>
          <w:rFonts w:ascii="Times New Roman" w:hAnsi="Times New Roman" w:cs="Times New Roman"/>
        </w:rPr>
        <w:t>This geometric structure underlies the observer-independent measurement of the invariant propagation speed.</w:t>
      </w:r>
    </w:p>
    <w:p w14:paraId="54EFE661" w14:textId="0B2BBE38" w:rsidR="00982855" w:rsidRPr="00982855" w:rsidRDefault="001C50AF" w:rsidP="003A5C99">
      <w:pPr>
        <w:pStyle w:val="ListBullet"/>
        <w:numPr>
          <w:ilvl w:val="0"/>
          <w:numId w:val="0"/>
        </w:numPr>
        <w:jc w:val="both"/>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282D2550" wp14:editId="46503D62">
            <wp:extent cx="2875202" cy="2222500"/>
            <wp:effectExtent l="0" t="0" r="1905" b="6350"/>
            <wp:docPr id="21231830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183003" name="Picture 1" descr="A diagram of a graph&#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8701" cy="2232934"/>
                    </a:xfrm>
                    <a:prstGeom prst="rect">
                      <a:avLst/>
                    </a:prstGeom>
                  </pic:spPr>
                </pic:pic>
              </a:graphicData>
            </a:graphic>
          </wp:inline>
        </w:drawing>
      </w:r>
    </w:p>
    <w:p w14:paraId="5CE2E22E" w14:textId="58189C80" w:rsidR="00601CB8" w:rsidRPr="00601CB8" w:rsidRDefault="00601CB8" w:rsidP="003A5C99">
      <w:pPr>
        <w:spacing w:line="276" w:lineRule="auto"/>
        <w:jc w:val="both"/>
        <w:rPr>
          <w:rFonts w:ascii="Times New Roman" w:hAnsi="Times New Roman" w:cs="Times New Roman"/>
        </w:rPr>
      </w:pPr>
      <w:r w:rsidRPr="00601CB8">
        <w:rPr>
          <w:rFonts w:ascii="Times New Roman" w:hAnsi="Times New Roman" w:cs="Times New Roman"/>
          <w:b/>
          <w:bCs/>
        </w:rPr>
        <w:t>Figure 2.</w:t>
      </w:r>
      <w:r w:rsidRPr="00601CB8">
        <w:rPr>
          <w:rFonts w:ascii="Times New Roman" w:hAnsi="Times New Roman" w:cs="Times New Roman"/>
        </w:rPr>
        <w:t xml:space="preserve"> Relationship between the </w:t>
      </w:r>
      <w:r w:rsidR="006A42CF">
        <w:rPr>
          <w:rFonts w:ascii="Times New Roman" w:hAnsi="Times New Roman" w:cs="Times New Roman"/>
        </w:rPr>
        <w:t>4-dimensional</w:t>
      </w:r>
      <w:r w:rsidRPr="00601CB8">
        <w:rPr>
          <w:rFonts w:ascii="Times New Roman" w:hAnsi="Times New Roman" w:cs="Times New Roman"/>
        </w:rPr>
        <w:t xml:space="preserve"> geometric structure of PLG and its two-dimensional projected appearance.</w:t>
      </w:r>
    </w:p>
    <w:p w14:paraId="070BEDFC" w14:textId="21567DBF" w:rsidR="00601CB8" w:rsidRPr="00601CB8" w:rsidRDefault="00601CB8" w:rsidP="003A5C99">
      <w:pPr>
        <w:spacing w:line="276" w:lineRule="auto"/>
        <w:jc w:val="both"/>
        <w:rPr>
          <w:rFonts w:ascii="Times New Roman" w:hAnsi="Times New Roman" w:cs="Times New Roman"/>
        </w:rPr>
      </w:pPr>
      <w:r w:rsidRPr="00601CB8">
        <w:rPr>
          <w:rFonts w:ascii="Times New Roman" w:hAnsi="Times New Roman" w:cs="Times New Roman"/>
        </w:rPr>
        <w:t xml:space="preserve">(A) </w:t>
      </w:r>
      <w:r w:rsidR="00C149A7">
        <w:rPr>
          <w:rFonts w:ascii="Times New Roman" w:hAnsi="Times New Roman" w:cs="Times New Roman"/>
        </w:rPr>
        <w:t>3-dimensional</w:t>
      </w:r>
      <w:r w:rsidRPr="00601CB8">
        <w:rPr>
          <w:rFonts w:ascii="Times New Roman" w:hAnsi="Times New Roman" w:cs="Times New Roman"/>
        </w:rPr>
        <w:t xml:space="preserve"> representation of the observer’s Reality Plane (denoted H) and its boosted orientation H′ within the </w:t>
      </w:r>
      <w:r w:rsidR="006A42CF">
        <w:rPr>
          <w:rFonts w:ascii="Times New Roman" w:hAnsi="Times New Roman" w:cs="Times New Roman"/>
        </w:rPr>
        <w:t>4-dimensional</w:t>
      </w:r>
      <w:r w:rsidRPr="00601CB8">
        <w:rPr>
          <w:rFonts w:ascii="Times New Roman" w:hAnsi="Times New Roman" w:cs="Times New Roman"/>
        </w:rPr>
        <w:t xml:space="preserve"> manifold. </w:t>
      </w:r>
      <w:r w:rsidR="00C0108B" w:rsidRPr="00C0108B">
        <w:rPr>
          <w:rFonts w:ascii="Times New Roman" w:hAnsi="Times New Roman" w:cs="Times New Roman"/>
        </w:rPr>
        <w:t>The photon’s projection-limit configuration lies entirely within the spatial projection sector relative to the Reality Plane (u₄ → 0) and does not admit finite progression along x₄.</w:t>
      </w:r>
      <w:r w:rsidR="00C0108B">
        <w:rPr>
          <w:rFonts w:ascii="Times New Roman" w:hAnsi="Times New Roman" w:cs="Times New Roman"/>
        </w:rPr>
        <w:t xml:space="preserve"> </w:t>
      </w:r>
      <w:r w:rsidRPr="00601CB8">
        <w:rPr>
          <w:rFonts w:ascii="Times New Roman" w:hAnsi="Times New Roman" w:cs="Times New Roman"/>
        </w:rPr>
        <w:t>Changes in observer motion correspond to a rotation of the Reality Plane and its associated e₄′ basis vector within the 4D manifold, while the photon’s projection-limit geometry remains invariant.</w:t>
      </w:r>
    </w:p>
    <w:p w14:paraId="6FB585E8" w14:textId="073FE302" w:rsidR="00601CB8" w:rsidRPr="00601CB8" w:rsidRDefault="009A0AB8" w:rsidP="003A5C99">
      <w:pPr>
        <w:spacing w:line="276" w:lineRule="auto"/>
        <w:jc w:val="both"/>
        <w:rPr>
          <w:rFonts w:ascii="Times New Roman" w:hAnsi="Times New Roman" w:cs="Times New Roman"/>
        </w:rPr>
      </w:pPr>
      <w:r>
        <w:rPr>
          <w:noProof/>
        </w:rPr>
        <mc:AlternateContent>
          <mc:Choice Requires="wps">
            <w:drawing>
              <wp:anchor distT="0" distB="0" distL="114300" distR="114300" simplePos="0" relativeHeight="251658241" behindDoc="1" locked="0" layoutInCell="1" allowOverlap="1" wp14:anchorId="739A511D" wp14:editId="36E32128">
                <wp:simplePos x="0" y="0"/>
                <wp:positionH relativeFrom="column">
                  <wp:posOffset>1047750</wp:posOffset>
                </wp:positionH>
                <wp:positionV relativeFrom="paragraph">
                  <wp:posOffset>2054860</wp:posOffset>
                </wp:positionV>
                <wp:extent cx="444500" cy="635"/>
                <wp:effectExtent l="0" t="0" r="0" b="0"/>
                <wp:wrapNone/>
                <wp:docPr id="1945095201" name="Text Box 1"/>
                <wp:cNvGraphicFramePr/>
                <a:graphic xmlns:a="http://schemas.openxmlformats.org/drawingml/2006/main">
                  <a:graphicData uri="http://schemas.microsoft.com/office/word/2010/wordprocessingShape">
                    <wps:wsp>
                      <wps:cNvSpPr txBox="1"/>
                      <wps:spPr>
                        <a:xfrm>
                          <a:off x="0" y="0"/>
                          <a:ext cx="444500" cy="635"/>
                        </a:xfrm>
                        <a:prstGeom prst="rect">
                          <a:avLst/>
                        </a:prstGeom>
                        <a:solidFill>
                          <a:prstClr val="white"/>
                        </a:solidFill>
                        <a:ln>
                          <a:noFill/>
                        </a:ln>
                      </wps:spPr>
                      <wps:txbx>
                        <w:txbxContent>
                          <w:p w14:paraId="381F4B7F" w14:textId="0E8EDF50" w:rsidR="00DA37D3" w:rsidRPr="00A746D4" w:rsidRDefault="00FA627E" w:rsidP="00DA37D3">
                            <w:pPr>
                              <w:pStyle w:val="Caption"/>
                              <w:rPr>
                                <w:rFonts w:ascii="Times New Roman" w:hAnsi="Times New Roman" w:cs="Times New Roman"/>
                              </w:rPr>
                            </w:pPr>
                            <w:r>
                              <w:t>(</w:t>
                            </w:r>
                            <w:r w:rsidR="00DA37D3">
                              <w:t>A</w:t>
                            </w:r>
                            <w:r>
                              <w:t>)</w:t>
                            </w:r>
                            <w:r w:rsidR="00DA37D3">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39A511D" id="_x0000_t202" coordsize="21600,21600" o:spt="202" path="m,l,21600r21600,l21600,xe">
                <v:stroke joinstyle="miter"/>
                <v:path gradientshapeok="t" o:connecttype="rect"/>
              </v:shapetype>
              <v:shape id="Text Box 1" o:spid="_x0000_s1026" type="#_x0000_t202" style="position:absolute;left:0;text-align:left;margin-left:82.5pt;margin-top:161.8pt;width:35pt;height:.05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" stroked="f">
                <v:textbox style="mso-fit-shape-to-text:t" inset="0,0,0,0">
                  <w:txbxContent>
                    <w:p w14:paraId="381F4B7F" w14:textId="0E8EDF50" w:rsidR="00DA37D3" w:rsidRPr="00A746D4" w:rsidRDefault="00FA627E" w:rsidP="00DA37D3">
                      <w:pPr>
                        <w:pStyle w:val="Caption"/>
                        <w:rPr>
                          <w:rFonts w:ascii="Times New Roman" w:hAnsi="Times New Roman" w:cs="Times New Roman"/>
                        </w:rPr>
                      </w:pPr>
                      <w:r>
                        <w:t>(</w:t>
                      </w:r>
                      <w:r w:rsidR="00DA37D3">
                        <w:t>A</w:t>
                      </w:r>
                      <w:r>
                        <w:t>)</w:t>
                      </w:r>
                      <w:r w:rsidR="00DA37D3">
                        <w:t xml:space="preserve"> </w:t>
                      </w:r>
                    </w:p>
                  </w:txbxContent>
                </v:textbox>
              </v:shape>
            </w:pict>
          </mc:Fallback>
        </mc:AlternateContent>
      </w:r>
      <w:r>
        <w:rPr>
          <w:noProof/>
        </w:rPr>
        <mc:AlternateContent>
          <mc:Choice Requires="wps">
            <w:drawing>
              <wp:anchor distT="0" distB="0" distL="114300" distR="114300" simplePos="0" relativeHeight="251658242" behindDoc="1" locked="0" layoutInCell="1" allowOverlap="1" wp14:anchorId="54FE5248" wp14:editId="01766A92">
                <wp:simplePos x="0" y="0"/>
                <wp:positionH relativeFrom="column">
                  <wp:posOffset>3702050</wp:posOffset>
                </wp:positionH>
                <wp:positionV relativeFrom="paragraph">
                  <wp:posOffset>2086610</wp:posOffset>
                </wp:positionV>
                <wp:extent cx="444500" cy="635"/>
                <wp:effectExtent l="0" t="0" r="0" b="0"/>
                <wp:wrapNone/>
                <wp:docPr id="1469357719" name="Text Box 1"/>
                <wp:cNvGraphicFramePr/>
                <a:graphic xmlns:a="http://schemas.openxmlformats.org/drawingml/2006/main">
                  <a:graphicData uri="http://schemas.microsoft.com/office/word/2010/wordprocessingShape">
                    <wps:wsp>
                      <wps:cNvSpPr txBox="1"/>
                      <wps:spPr>
                        <a:xfrm>
                          <a:off x="0" y="0"/>
                          <a:ext cx="444500" cy="635"/>
                        </a:xfrm>
                        <a:prstGeom prst="rect">
                          <a:avLst/>
                        </a:prstGeom>
                        <a:solidFill>
                          <a:prstClr val="white"/>
                        </a:solidFill>
                        <a:ln>
                          <a:noFill/>
                        </a:ln>
                      </wps:spPr>
                      <wps:txbx>
                        <w:txbxContent>
                          <w:p w14:paraId="2A301367" w14:textId="678DC0DB" w:rsidR="00DA37D3" w:rsidRPr="00A746D4" w:rsidRDefault="00FA627E" w:rsidP="00DA37D3">
                            <w:pPr>
                              <w:pStyle w:val="Caption"/>
                              <w:rPr>
                                <w:rFonts w:ascii="Times New Roman" w:hAnsi="Times New Roman" w:cs="Times New Roman"/>
                              </w:rPr>
                            </w:pPr>
                            <w:r>
                              <w:t>(</w:t>
                            </w:r>
                            <w:r w:rsidR="00DA37D3">
                              <w:t>B</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4FE5248" id="_x0000_s1027" type="#_x0000_t202" style="position:absolute;left:0;text-align:left;margin-left:291.5pt;margin-top:164.3pt;width:35pt;height:.05pt;z-index:-25165823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" stroked="f">
                <v:textbox style="mso-fit-shape-to-text:t" inset="0,0,0,0">
                  <w:txbxContent>
                    <w:p w14:paraId="2A301367" w14:textId="678DC0DB" w:rsidR="00DA37D3" w:rsidRPr="00A746D4" w:rsidRDefault="00FA627E" w:rsidP="00DA37D3">
                      <w:pPr>
                        <w:pStyle w:val="Caption"/>
                        <w:rPr>
                          <w:rFonts w:ascii="Times New Roman" w:hAnsi="Times New Roman" w:cs="Times New Roman"/>
                        </w:rPr>
                      </w:pPr>
                      <w:r>
                        <w:t>(</w:t>
                      </w:r>
                      <w:r w:rsidR="00DA37D3">
                        <w:t>B</w:t>
                      </w:r>
                      <w:r>
                        <w:t>)</w:t>
                      </w:r>
                    </w:p>
                  </w:txbxContent>
                </v:textbox>
              </v:shape>
            </w:pict>
          </mc:Fallback>
        </mc:AlternateContent>
      </w:r>
      <w:r>
        <w:rPr>
          <w:noProof/>
        </w:rPr>
        <w:drawing>
          <wp:anchor distT="0" distB="0" distL="114300" distR="114300" simplePos="0" relativeHeight="251658240" behindDoc="1" locked="0" layoutInCell="1" allowOverlap="1" wp14:anchorId="3E5261D8" wp14:editId="7D675D62">
            <wp:simplePos x="0" y="0"/>
            <wp:positionH relativeFrom="column">
              <wp:posOffset>2686050</wp:posOffset>
            </wp:positionH>
            <wp:positionV relativeFrom="paragraph">
              <wp:posOffset>2400300</wp:posOffset>
            </wp:positionV>
            <wp:extent cx="2933700" cy="2138680"/>
            <wp:effectExtent l="0" t="0" r="0" b="0"/>
            <wp:wrapNone/>
            <wp:docPr id="1059480901" name="Picture 1"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480901" name="Picture 1" descr="A diagram of a line&#10;&#10;AI-generated content may be incorrect."/>
                    <pic:cNvPicPr/>
                  </pic:nvPicPr>
                  <pic:blipFill rotWithShape="1">
                    <a:blip r:embed="rId12" cstate="print">
                      <a:extLst>
                        <a:ext uri="{28A0092B-C50C-407E-A947-70E740481C1C}">
                          <a14:useLocalDpi xmlns:a14="http://schemas.microsoft.com/office/drawing/2010/main" val="0"/>
                        </a:ext>
                      </a:extLst>
                    </a:blip>
                    <a:srcRect l="18009" t="13854" r="27538" b="15617"/>
                    <a:stretch/>
                  </pic:blipFill>
                  <pic:spPr bwMode="auto">
                    <a:xfrm>
                      <a:off x="0" y="0"/>
                      <a:ext cx="2933700" cy="21386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1CB8" w:rsidRPr="00601CB8">
        <w:rPr>
          <w:rFonts w:ascii="Times New Roman" w:hAnsi="Times New Roman" w:cs="Times New Roman"/>
        </w:rPr>
        <w:t xml:space="preserve">(B) Two-dimensional projected diagram illustrating how this rotation appears in the observer’s finite metric coordinates immediately prior to observation. An observer moving toward the photon source represents itself as stationary in its own coordinates. The rotated Reality Plane intersects the same projection-limit configuration at a shifted spatial location, producing a horizontal translation of the projected photon line </w:t>
      </w:r>
      <w:r w:rsidR="0079447D" w:rsidRPr="0079447D">
        <w:rPr>
          <w:rFonts w:ascii="Times New Roman" w:hAnsi="Times New Roman" w:cs="Times New Roman"/>
        </w:rPr>
        <w:t>while preserving its invariant 45° slope in the projected (space–emergent time) diagram</w:t>
      </w:r>
      <w:r w:rsidR="00601CB8" w:rsidRPr="00601CB8">
        <w:rPr>
          <w:rFonts w:ascii="Times New Roman" w:hAnsi="Times New Roman" w:cs="Times New Roman"/>
        </w:rPr>
        <w:t xml:space="preserve">. This illustrates why all observers, regardless of relative motion, measure the same invariant propagation speed. The photon geometry remains fixed; only the observer’s coordinate orientation changes. At observation, the unbounded photon configuration undergoes projection-induced </w:t>
      </w:r>
      <w:r w:rsidR="006B5AB8" w:rsidRPr="006B5AB8">
        <w:rPr>
          <w:rFonts w:ascii="Times New Roman" w:hAnsi="Times New Roman" w:cs="Times New Roman"/>
        </w:rPr>
        <w:t>relational metric decomposition</w:t>
      </w:r>
      <w:r w:rsidR="006B5AB8">
        <w:rPr>
          <w:rFonts w:ascii="Times New Roman" w:hAnsi="Times New Roman" w:cs="Times New Roman"/>
        </w:rPr>
        <w:t xml:space="preserve"> </w:t>
      </w:r>
      <w:r w:rsidR="00601CB8" w:rsidRPr="00601CB8">
        <w:rPr>
          <w:rFonts w:ascii="Times New Roman" w:hAnsi="Times New Roman" w:cs="Times New Roman"/>
        </w:rPr>
        <w:t>to the local metric scale.</w:t>
      </w:r>
    </w:p>
    <w:p w14:paraId="714E5EC5" w14:textId="53C37354" w:rsidR="000405E1" w:rsidRDefault="009A0AB8" w:rsidP="003A5C99">
      <w:pPr>
        <w:spacing w:line="276" w:lineRule="auto"/>
      </w:pPr>
      <w:r>
        <w:rPr>
          <w:noProof/>
        </w:rPr>
        <w:drawing>
          <wp:anchor distT="0" distB="0" distL="114300" distR="114300" simplePos="0" relativeHeight="251658243" behindDoc="0" locked="0" layoutInCell="1" allowOverlap="1" wp14:anchorId="05ADE640" wp14:editId="6A8D08CE">
            <wp:simplePos x="0" y="0"/>
            <wp:positionH relativeFrom="column">
              <wp:posOffset>-158115</wp:posOffset>
            </wp:positionH>
            <wp:positionV relativeFrom="paragraph">
              <wp:posOffset>111760</wp:posOffset>
            </wp:positionV>
            <wp:extent cx="2540000" cy="2219325"/>
            <wp:effectExtent l="0" t="0" r="0" b="9525"/>
            <wp:wrapNone/>
            <wp:docPr id="619346569"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346569" name="Picture 2" descr="A diagram of a graph&#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540000" cy="2219325"/>
                    </a:xfrm>
                    <a:prstGeom prst="rect">
                      <a:avLst/>
                    </a:prstGeom>
                  </pic:spPr>
                </pic:pic>
              </a:graphicData>
            </a:graphic>
            <wp14:sizeRelH relativeFrom="margin">
              <wp14:pctWidth>0</wp14:pctWidth>
            </wp14:sizeRelH>
            <wp14:sizeRelV relativeFrom="margin">
              <wp14:pctHeight>0</wp14:pctHeight>
            </wp14:sizeRelV>
          </wp:anchor>
        </w:drawing>
      </w:r>
    </w:p>
    <w:p w14:paraId="3E53CA36" w14:textId="3A357BFD" w:rsidR="000405E1" w:rsidRDefault="000405E1" w:rsidP="00D93E20"/>
    <w:p w14:paraId="0F68A14F" w14:textId="52F6425E" w:rsidR="000405E1" w:rsidRDefault="000405E1" w:rsidP="00D93E20"/>
    <w:p w14:paraId="0F09F4B0" w14:textId="5B4FEB9E" w:rsidR="000405E1" w:rsidRDefault="000405E1" w:rsidP="00D93E20"/>
    <w:p w14:paraId="777FE169" w14:textId="7B982549" w:rsidR="000405E1" w:rsidRDefault="000405E1" w:rsidP="00D93E20"/>
    <w:p w14:paraId="1F3689DC" w14:textId="77777777" w:rsidR="00D93E20" w:rsidRDefault="00D93E20" w:rsidP="00D93E20"/>
    <w:p w14:paraId="4245E2BC" w14:textId="16E9B7A2" w:rsidR="00491FF8" w:rsidRPr="003D46E4" w:rsidRDefault="00491FF8" w:rsidP="003D46E4">
      <w:pPr>
        <w:pStyle w:val="Heading2"/>
      </w:pPr>
      <w:r w:rsidRPr="00491FF8">
        <w:t>3.1</w:t>
      </w:r>
      <w:r w:rsidR="009A4939">
        <w:t xml:space="preserve"> </w:t>
      </w:r>
      <w:r w:rsidRPr="00491FF8">
        <w:t>Geometric Invariance of the Photon Boundary</w:t>
      </w:r>
    </w:p>
    <w:p w14:paraId="25F1F849" w14:textId="77777777" w:rsidR="00D24E77" w:rsidRPr="00D24E77" w:rsidRDefault="00D24E77" w:rsidP="00D24E77">
      <w:pPr>
        <w:spacing w:after="0"/>
        <w:jc w:val="both"/>
        <w:rPr>
          <w:rFonts w:ascii="Times New Roman" w:hAnsi="Times New Roman" w:cs="Times New Roman"/>
        </w:rPr>
      </w:pPr>
      <w:r w:rsidRPr="00D24E77">
        <w:rPr>
          <w:rFonts w:ascii="Times New Roman" w:hAnsi="Times New Roman" w:cs="Times New Roman"/>
        </w:rPr>
        <w:t>The photon corresponds to the projection-limit boundary of the conserved 4-dimensional expansion invariant:</w:t>
      </w:r>
    </w:p>
    <w:p w14:paraId="4ECECCC7" w14:textId="5113FD47" w:rsidR="00D24E77" w:rsidRPr="00D24E77" w:rsidRDefault="00D24E77" w:rsidP="00D24E77">
      <w:pPr>
        <w:ind w:firstLine="720"/>
        <w:jc w:val="both"/>
        <w:rPr>
          <w:rFonts w:ascii="Times New Roman" w:hAnsi="Times New Roman" w:cs="Times New Roman"/>
        </w:rPr>
      </w:pPr>
      <w:r w:rsidRPr="00D24E77">
        <w:rPr>
          <w:rFonts w:ascii="Times New Roman" w:hAnsi="Times New Roman" w:cs="Times New Roman"/>
        </w:rPr>
        <w:t>v² + u₄² = C₄²</w:t>
      </w:r>
    </w:p>
    <w:p w14:paraId="6E92DA56" w14:textId="77777777" w:rsidR="00D24E77" w:rsidRPr="00D24E77" w:rsidRDefault="00D24E77" w:rsidP="00D24E77">
      <w:pPr>
        <w:spacing w:after="0"/>
        <w:jc w:val="both"/>
        <w:rPr>
          <w:rFonts w:ascii="Times New Roman" w:hAnsi="Times New Roman" w:cs="Times New Roman"/>
        </w:rPr>
      </w:pPr>
      <w:r w:rsidRPr="00D24E77">
        <w:rPr>
          <w:rFonts w:ascii="Times New Roman" w:hAnsi="Times New Roman" w:cs="Times New Roman"/>
        </w:rPr>
        <w:t>At this boundary, the net progression component along the fourth spatial dimension vanishes:</w:t>
      </w:r>
    </w:p>
    <w:p w14:paraId="12CF129A" w14:textId="4A314E13" w:rsidR="00D24E77" w:rsidRPr="00D24E77" w:rsidRDefault="00D24E77" w:rsidP="00D24E77">
      <w:pPr>
        <w:spacing w:after="0"/>
        <w:ind w:firstLine="720"/>
        <w:jc w:val="both"/>
        <w:rPr>
          <w:rFonts w:ascii="Times New Roman" w:hAnsi="Times New Roman" w:cs="Times New Roman"/>
        </w:rPr>
      </w:pPr>
      <w:r w:rsidRPr="00D24E77">
        <w:rPr>
          <w:rFonts w:ascii="Times New Roman" w:hAnsi="Times New Roman" w:cs="Times New Roman"/>
        </w:rPr>
        <w:t>u₄ → 0</w:t>
      </w:r>
    </w:p>
    <w:p w14:paraId="2D094D14" w14:textId="77777777" w:rsidR="00D24E77" w:rsidRPr="00D24E77" w:rsidRDefault="00D24E77" w:rsidP="00D24E77">
      <w:pPr>
        <w:spacing w:after="0"/>
        <w:jc w:val="both"/>
        <w:rPr>
          <w:rFonts w:ascii="Times New Roman" w:hAnsi="Times New Roman" w:cs="Times New Roman"/>
        </w:rPr>
      </w:pPr>
      <w:r w:rsidRPr="00D24E77">
        <w:rPr>
          <w:rFonts w:ascii="Times New Roman" w:hAnsi="Times New Roman" w:cs="Times New Roman"/>
        </w:rPr>
        <w:t>so that the invariant reduces to:</w:t>
      </w:r>
    </w:p>
    <w:p w14:paraId="58DEB568" w14:textId="4B430599" w:rsidR="00D24E77" w:rsidRPr="00D24E77" w:rsidRDefault="00D24E77" w:rsidP="00D24E77">
      <w:pPr>
        <w:ind w:firstLine="720"/>
        <w:jc w:val="both"/>
        <w:rPr>
          <w:rFonts w:ascii="Times New Roman" w:hAnsi="Times New Roman" w:cs="Times New Roman"/>
        </w:rPr>
      </w:pPr>
      <w:r w:rsidRPr="00D24E77">
        <w:rPr>
          <w:rFonts w:ascii="Times New Roman" w:hAnsi="Times New Roman" w:cs="Times New Roman"/>
        </w:rPr>
        <w:t>v → C₄</w:t>
      </w:r>
    </w:p>
    <w:p w14:paraId="72E23902" w14:textId="56895C6C" w:rsidR="00D24E77" w:rsidRPr="00D24E77" w:rsidRDefault="00D24E77" w:rsidP="00D24E77">
      <w:pPr>
        <w:jc w:val="both"/>
        <w:rPr>
          <w:rFonts w:ascii="Times New Roman" w:hAnsi="Times New Roman" w:cs="Times New Roman"/>
        </w:rPr>
      </w:pPr>
      <w:r w:rsidRPr="00D24E77">
        <w:rPr>
          <w:rFonts w:ascii="Times New Roman" w:hAnsi="Times New Roman" w:cs="Times New Roman"/>
        </w:rPr>
        <w:t xml:space="preserve">This condition defines the </w:t>
      </w:r>
      <w:r w:rsidR="00522913" w:rsidRPr="00522913">
        <w:rPr>
          <w:rFonts w:ascii="Times New Roman" w:hAnsi="Times New Roman" w:cs="Times New Roman"/>
        </w:rPr>
        <w:t>limiting boundary configuration</w:t>
      </w:r>
      <w:r w:rsidR="00522913">
        <w:rPr>
          <w:rFonts w:ascii="Times New Roman" w:hAnsi="Times New Roman" w:cs="Times New Roman"/>
        </w:rPr>
        <w:t xml:space="preserve"> </w:t>
      </w:r>
      <w:r w:rsidRPr="00D24E77">
        <w:rPr>
          <w:rFonts w:ascii="Times New Roman" w:hAnsi="Times New Roman" w:cs="Times New Roman"/>
        </w:rPr>
        <w:t xml:space="preserve">of the 4-dimensional expansion vector </w:t>
      </w:r>
      <w:r w:rsidRPr="00D24E77">
        <w:rPr>
          <w:rFonts w:ascii="Cambria Math" w:hAnsi="Cambria Math" w:cs="Cambria Math"/>
        </w:rPr>
        <w:t>𝐔</w:t>
      </w:r>
      <w:r w:rsidRPr="00D24E77">
        <w:rPr>
          <w:rFonts w:ascii="Times New Roman" w:hAnsi="Times New Roman" w:cs="Times New Roman"/>
        </w:rPr>
        <w:t xml:space="preserve"> relative to the observer’s Reality Plane. The configuration possesses no finite displacement along x₄ and therefore admits no observer-defined proper progression. It represents the maximal spatial projection permitted under the conserved expansion magnitude C₄.</w:t>
      </w:r>
    </w:p>
    <w:p w14:paraId="6BB206F2" w14:textId="77777777" w:rsidR="00D24E77" w:rsidRPr="00D24E77" w:rsidRDefault="00D24E77" w:rsidP="00D24E77">
      <w:pPr>
        <w:jc w:val="both"/>
        <w:rPr>
          <w:rFonts w:ascii="Times New Roman" w:hAnsi="Times New Roman" w:cs="Times New Roman"/>
        </w:rPr>
      </w:pPr>
      <w:r w:rsidRPr="00D24E77">
        <w:rPr>
          <w:rFonts w:ascii="Times New Roman" w:hAnsi="Times New Roman" w:cs="Times New Roman"/>
        </w:rPr>
        <w:t>This boundary condition does not represent a trajectory through space, nor does it imply motion at a special geometric angle within the Euclidean manifold. Rather, it specifies the limiting case in which the entire expansion magnitude lies within the spatial projection sector relative to the Reality Plane.</w:t>
      </w:r>
    </w:p>
    <w:p w14:paraId="27C1709F" w14:textId="77777777" w:rsidR="00D24E77" w:rsidRPr="00D24E77" w:rsidRDefault="00D24E77" w:rsidP="00D24E77">
      <w:pPr>
        <w:jc w:val="both"/>
        <w:rPr>
          <w:rFonts w:ascii="Times New Roman" w:hAnsi="Times New Roman" w:cs="Times New Roman"/>
        </w:rPr>
      </w:pPr>
      <w:r w:rsidRPr="00D24E77">
        <w:rPr>
          <w:rFonts w:ascii="Times New Roman" w:hAnsi="Times New Roman" w:cs="Times New Roman"/>
        </w:rPr>
        <w:t>Observer transformations in PLG correspond to reorientation of the observer’s Reality Plane within the invariant 4-dimensional Euclidean manifold. Such reorientation modifies the decomposition of the expansion vector into spatial and x₄ components relative to that observer, but it does not modify the invariant magnitude C₄ nor the boundary condition u₄ → 0 itself.</w:t>
      </w:r>
    </w:p>
    <w:p w14:paraId="430A3D3B" w14:textId="68AD4895" w:rsidR="00D24E77" w:rsidRPr="00D24E77" w:rsidRDefault="008434A5" w:rsidP="00D24E77">
      <w:pPr>
        <w:spacing w:after="0"/>
        <w:jc w:val="both"/>
        <w:rPr>
          <w:rFonts w:ascii="Times New Roman" w:hAnsi="Times New Roman" w:cs="Times New Roman"/>
        </w:rPr>
      </w:pPr>
      <w:r>
        <w:rPr>
          <w:rFonts w:ascii="Times New Roman" w:hAnsi="Times New Roman" w:cs="Times New Roman"/>
        </w:rPr>
        <w:t>As</w:t>
      </w:r>
      <w:r w:rsidR="00D24E77" w:rsidRPr="00D24E77">
        <w:rPr>
          <w:rFonts w:ascii="Times New Roman" w:hAnsi="Times New Roman" w:cs="Times New Roman"/>
        </w:rPr>
        <w:t xml:space="preserve"> the projection-limit is defined by the invariant constraint rather than by any particular observer’s decomposition, all inertial observers project the same limiting spatial magnitude:</w:t>
      </w:r>
    </w:p>
    <w:p w14:paraId="7ADBE67C" w14:textId="2C9EF22D" w:rsidR="00D24E77" w:rsidRPr="00D24E77" w:rsidRDefault="00D24E77" w:rsidP="00D24E77">
      <w:pPr>
        <w:ind w:firstLine="720"/>
        <w:jc w:val="both"/>
        <w:rPr>
          <w:rFonts w:ascii="Times New Roman" w:hAnsi="Times New Roman" w:cs="Times New Roman"/>
        </w:rPr>
      </w:pPr>
      <w:r w:rsidRPr="00D24E77">
        <w:rPr>
          <w:rFonts w:ascii="Times New Roman" w:hAnsi="Times New Roman" w:cs="Times New Roman"/>
        </w:rPr>
        <w:t>v = C₄</w:t>
      </w:r>
    </w:p>
    <w:p w14:paraId="61260C05" w14:textId="77777777" w:rsidR="00D24E77" w:rsidRPr="00D24E77" w:rsidRDefault="00D24E77" w:rsidP="00D24E77">
      <w:pPr>
        <w:jc w:val="both"/>
        <w:rPr>
          <w:rFonts w:ascii="Times New Roman" w:hAnsi="Times New Roman" w:cs="Times New Roman"/>
        </w:rPr>
      </w:pPr>
      <w:r w:rsidRPr="00D24E77">
        <w:rPr>
          <w:rFonts w:ascii="Times New Roman" w:hAnsi="Times New Roman" w:cs="Times New Roman"/>
        </w:rPr>
        <w:t>The invariance of this boundary condition therefore ensures observer-independent measurement of the limiting projection speed without requiring Lorentzian null directions or postulated invariance. The constancy of C₄ follows directly from conservation of the 4-dimensional expansion magnitude within the Euclidean manifold.</w:t>
      </w:r>
    </w:p>
    <w:p w14:paraId="564705FB" w14:textId="3CB0D5AA" w:rsidR="00ED1D33" w:rsidRPr="00D90A28" w:rsidRDefault="00091434" w:rsidP="00091434">
      <w:pPr>
        <w:pStyle w:val="Heading2"/>
      </w:pPr>
      <w:r>
        <w:t>3.2</w:t>
      </w:r>
      <w:r w:rsidR="00ED1D33" w:rsidRPr="00D90A28">
        <w:t xml:space="preserve"> Relational 4D </w:t>
      </w:r>
      <w:r w:rsidR="00C8690B">
        <w:t>M</w:t>
      </w:r>
      <w:r w:rsidR="00C8690B" w:rsidRPr="00C8690B">
        <w:t xml:space="preserve">etric </w:t>
      </w:r>
      <w:r w:rsidR="00C8690B">
        <w:t>D</w:t>
      </w:r>
      <w:r w:rsidR="00C8690B" w:rsidRPr="00C8690B">
        <w:t>ecomposition</w:t>
      </w:r>
    </w:p>
    <w:p w14:paraId="250FCE9B" w14:textId="77777777" w:rsidR="00C65F3F" w:rsidRPr="00C65F3F" w:rsidRDefault="00C65F3F" w:rsidP="00C65F3F">
      <w:pPr>
        <w:spacing w:after="0"/>
        <w:jc w:val="both"/>
        <w:rPr>
          <w:rFonts w:ascii="Times New Roman" w:hAnsi="Times New Roman" w:cs="Times New Roman"/>
        </w:rPr>
      </w:pPr>
      <w:r w:rsidRPr="00C65F3F">
        <w:rPr>
          <w:rFonts w:ascii="Times New Roman" w:hAnsi="Times New Roman" w:cs="Times New Roman"/>
        </w:rPr>
        <w:t>Acceleration rotates the expansion vector within the (v, u₄) plane while preserving:</w:t>
      </w:r>
    </w:p>
    <w:p w14:paraId="6A75D863" w14:textId="72C5AF14" w:rsidR="00C65F3F" w:rsidRPr="00C65F3F" w:rsidRDefault="00C65F3F" w:rsidP="00C65F3F">
      <w:pPr>
        <w:ind w:firstLine="720"/>
        <w:jc w:val="both"/>
        <w:rPr>
          <w:rFonts w:ascii="Times New Roman" w:hAnsi="Times New Roman" w:cs="Times New Roman"/>
        </w:rPr>
      </w:pPr>
      <w:r w:rsidRPr="00C65F3F">
        <w:rPr>
          <w:rFonts w:ascii="Times New Roman" w:hAnsi="Times New Roman" w:cs="Times New Roman"/>
        </w:rPr>
        <w:t>v² + u₄² = C₄²</w:t>
      </w:r>
    </w:p>
    <w:p w14:paraId="45FB4420" w14:textId="77777777" w:rsidR="00C65F3F" w:rsidRPr="00C65F3F" w:rsidRDefault="00C65F3F" w:rsidP="00C65F3F">
      <w:pPr>
        <w:spacing w:after="0"/>
        <w:jc w:val="both"/>
        <w:rPr>
          <w:rFonts w:ascii="Times New Roman" w:hAnsi="Times New Roman" w:cs="Times New Roman"/>
        </w:rPr>
      </w:pPr>
      <w:r w:rsidRPr="00C65F3F">
        <w:rPr>
          <w:rFonts w:ascii="Times New Roman" w:hAnsi="Times New Roman" w:cs="Times New Roman"/>
        </w:rPr>
        <w:t>This produces a relational metric mismatch between the moving configuration and the observer’s decomposition. Operationally, this appears as an effective interface thickness:</w:t>
      </w:r>
    </w:p>
    <w:p w14:paraId="53716A9F" w14:textId="46D911F2" w:rsidR="00C65F3F" w:rsidRPr="00C65F3F" w:rsidRDefault="00C65F3F" w:rsidP="00C65F3F">
      <w:pPr>
        <w:ind w:firstLine="720"/>
        <w:jc w:val="both"/>
        <w:rPr>
          <w:rFonts w:ascii="Times New Roman" w:hAnsi="Times New Roman" w:cs="Times New Roman"/>
        </w:rPr>
      </w:pPr>
      <w:r w:rsidRPr="00C65F3F">
        <w:rPr>
          <w:rFonts w:ascii="Times New Roman" w:hAnsi="Times New Roman" w:cs="Times New Roman"/>
        </w:rPr>
        <w:t>x₄′ = γℓₚ</w:t>
      </w:r>
    </w:p>
    <w:p w14:paraId="41143E49" w14:textId="338EC994" w:rsidR="00C65F3F" w:rsidRPr="00C65F3F" w:rsidRDefault="00B54549" w:rsidP="00C65F3F">
      <w:pPr>
        <w:jc w:val="both"/>
        <w:rPr>
          <w:rFonts w:ascii="Times New Roman" w:hAnsi="Times New Roman" w:cs="Times New Roman"/>
        </w:rPr>
      </w:pPr>
      <w:r>
        <w:rPr>
          <w:rFonts w:ascii="Times New Roman" w:hAnsi="Times New Roman" w:cs="Times New Roman"/>
        </w:rPr>
        <w:t>T</w:t>
      </w:r>
      <w:r w:rsidR="00D1784C" w:rsidRPr="00D1784C">
        <w:rPr>
          <w:rFonts w:ascii="Times New Roman" w:hAnsi="Times New Roman" w:cs="Times New Roman"/>
        </w:rPr>
        <w:t>his reflects a relational decomposition mismatch between configurations, not any intrinsic scaling within ℝ⁴.</w:t>
      </w:r>
      <w:r w:rsidR="00D1784C">
        <w:rPr>
          <w:rFonts w:ascii="Times New Roman" w:hAnsi="Times New Roman" w:cs="Times New Roman"/>
        </w:rPr>
        <w:t xml:space="preserve"> </w:t>
      </w:r>
      <w:r w:rsidR="00C65F3F" w:rsidRPr="00C65F3F">
        <w:rPr>
          <w:rFonts w:ascii="Times New Roman" w:hAnsi="Times New Roman" w:cs="Times New Roman"/>
        </w:rPr>
        <w:t>The invariant four-volume of M₄ is unchanged; only the observer’s decomposition of invariant availability differs.</w:t>
      </w:r>
    </w:p>
    <w:p w14:paraId="40A65F45" w14:textId="77777777" w:rsidR="00C65F3F" w:rsidRPr="00C65F3F" w:rsidRDefault="00C65F3F" w:rsidP="00C65F3F">
      <w:pPr>
        <w:spacing w:after="0"/>
        <w:jc w:val="both"/>
        <w:rPr>
          <w:rFonts w:ascii="Times New Roman" w:hAnsi="Times New Roman" w:cs="Times New Roman"/>
        </w:rPr>
      </w:pPr>
      <w:r w:rsidRPr="00C65F3F">
        <w:rPr>
          <w:rFonts w:ascii="Times New Roman" w:hAnsi="Times New Roman" w:cs="Times New Roman"/>
        </w:rPr>
        <w:t>Expressed in the observer’s coordinates, the effective 4D availability scales as:</w:t>
      </w:r>
    </w:p>
    <w:p w14:paraId="49A1B15C" w14:textId="30345F04" w:rsidR="00C65F3F" w:rsidRPr="00C65F3F" w:rsidRDefault="00C65F3F" w:rsidP="00C65F3F">
      <w:pPr>
        <w:ind w:firstLine="720"/>
        <w:jc w:val="both"/>
        <w:rPr>
          <w:rFonts w:ascii="Times New Roman" w:hAnsi="Times New Roman" w:cs="Times New Roman"/>
        </w:rPr>
      </w:pPr>
      <w:proofErr w:type="spellStart"/>
      <w:r w:rsidRPr="00C65F3F">
        <w:rPr>
          <w:rFonts w:ascii="Times New Roman" w:hAnsi="Times New Roman" w:cs="Times New Roman"/>
        </w:rPr>
        <w:t>V₍eff</w:t>
      </w:r>
      <w:proofErr w:type="spellEnd"/>
      <w:r w:rsidRPr="00C65F3F">
        <w:rPr>
          <w:rFonts w:ascii="Times New Roman" w:hAnsi="Times New Roman" w:cs="Times New Roman"/>
        </w:rPr>
        <w:t>₎⁽⁴⁾ = (</w:t>
      </w:r>
      <w:proofErr w:type="spellStart"/>
      <w:r w:rsidRPr="00C65F3F">
        <w:rPr>
          <w:rFonts w:ascii="Times New Roman" w:hAnsi="Times New Roman" w:cs="Times New Roman"/>
        </w:rPr>
        <w:t>γL</w:t>
      </w:r>
      <w:proofErr w:type="spellEnd"/>
      <w:r w:rsidRPr="00C65F3F">
        <w:rPr>
          <w:rFonts w:ascii="Times New Roman" w:hAnsi="Times New Roman" w:cs="Times New Roman"/>
        </w:rPr>
        <w:t>₀)³ (γℓₚ) = γ⁴ V₀⁽⁴⁾</w:t>
      </w:r>
    </w:p>
    <w:p w14:paraId="5B1DE159" w14:textId="7EA59CD8" w:rsidR="00C65F3F" w:rsidRPr="00C65F3F" w:rsidRDefault="0008721B" w:rsidP="00C65F3F">
      <w:pPr>
        <w:jc w:val="both"/>
        <w:rPr>
          <w:rFonts w:ascii="Times New Roman" w:hAnsi="Times New Roman" w:cs="Times New Roman"/>
        </w:rPr>
      </w:pPr>
      <w:r w:rsidRPr="0008721B">
        <w:rPr>
          <w:rFonts w:ascii="Times New Roman" w:hAnsi="Times New Roman" w:cs="Times New Roman"/>
        </w:rPr>
        <w:t>This γ⁴ factor reflects an observer-dependent decomposition of invariant 4-dimensional availability, not a change in geometric volume or intrinsic scaling.</w:t>
      </w:r>
      <w:r>
        <w:rPr>
          <w:rFonts w:ascii="Times New Roman" w:hAnsi="Times New Roman" w:cs="Times New Roman"/>
        </w:rPr>
        <w:t xml:space="preserve"> </w:t>
      </w:r>
      <w:r w:rsidR="00843FC4" w:rsidRPr="00843FC4">
        <w:rPr>
          <w:rFonts w:ascii="Times New Roman" w:hAnsi="Times New Roman" w:cs="Times New Roman"/>
        </w:rPr>
        <w:t>The relativistic mass</w:t>
      </w:r>
      <w:r w:rsidR="00843FC4">
        <w:rPr>
          <w:rFonts w:ascii="Times New Roman" w:hAnsi="Times New Roman" w:cs="Times New Roman"/>
        </w:rPr>
        <w:t>-</w:t>
      </w:r>
      <w:r w:rsidR="00843FC4" w:rsidRPr="00843FC4">
        <w:rPr>
          <w:rFonts w:ascii="Times New Roman" w:hAnsi="Times New Roman" w:cs="Times New Roman"/>
        </w:rPr>
        <w:t>energy increase is therefore interpreted as invariant-constrained motion expressed through observer-dependent decomposition of the 4-dimensional expansion structure.</w:t>
      </w:r>
    </w:p>
    <w:p w14:paraId="45B16101" w14:textId="60DF5825" w:rsidR="00ED1D33" w:rsidRPr="00091434" w:rsidRDefault="00091434" w:rsidP="0010425A">
      <w:pPr>
        <w:pStyle w:val="Heading2"/>
      </w:pPr>
      <w:r>
        <w:t>3</w:t>
      </w:r>
      <w:r w:rsidRPr="00091434">
        <w:t>.3</w:t>
      </w:r>
      <w:r w:rsidR="00ED1D33" w:rsidRPr="00091434">
        <w:t xml:space="preserve"> Emergent Time Dilation</w:t>
      </w:r>
    </w:p>
    <w:p w14:paraId="08FD41D6" w14:textId="76E1E248" w:rsidR="001E2E68" w:rsidRDefault="00C6503F" w:rsidP="000E6D34">
      <w:pPr>
        <w:spacing w:after="0"/>
        <w:jc w:val="both"/>
        <w:rPr>
          <w:rFonts w:ascii="Times New Roman" w:hAnsi="Times New Roman" w:cs="Times New Roman"/>
        </w:rPr>
      </w:pPr>
      <w:r w:rsidRPr="00C6503F">
        <w:rPr>
          <w:rFonts w:ascii="Times New Roman" w:hAnsi="Times New Roman" w:cs="Times New Roman"/>
        </w:rPr>
        <w:t>Time corresponds to accumulated displacement along x₄ measured against the observer’s interface scale ℓₚ. This relation expresses redistribution of the conserved expansion magnitude between spatial components and progression along x₄. Because the moving configuration’s effective unit is:</w:t>
      </w:r>
    </w:p>
    <w:p w14:paraId="7079F70B" w14:textId="77777777" w:rsidR="004E1067" w:rsidRDefault="00D409F5" w:rsidP="000E6D34">
      <w:pPr>
        <w:ind w:firstLine="720"/>
        <w:jc w:val="both"/>
        <w:rPr>
          <w:rFonts w:ascii="Times New Roman" w:hAnsi="Times New Roman" w:cs="Times New Roman"/>
        </w:rPr>
      </w:pPr>
      <w:r w:rsidRPr="000E6D34">
        <w:rPr>
          <w:rFonts w:ascii="Times New Roman" w:hAnsi="Times New Roman" w:cs="Times New Roman"/>
        </w:rPr>
        <w:t>x₄′ = γℓₚ</w:t>
      </w:r>
      <w:r w:rsidR="004E1067">
        <w:rPr>
          <w:rFonts w:ascii="Times New Roman" w:hAnsi="Times New Roman" w:cs="Times New Roman"/>
        </w:rPr>
        <w:t xml:space="preserve"> </w:t>
      </w:r>
    </w:p>
    <w:p w14:paraId="5B677A06" w14:textId="56FCB94B" w:rsidR="00D409F5" w:rsidRPr="000E6D34" w:rsidRDefault="004E1067" w:rsidP="00BF117C">
      <w:pPr>
        <w:jc w:val="both"/>
        <w:rPr>
          <w:rFonts w:ascii="Times New Roman" w:hAnsi="Times New Roman" w:cs="Times New Roman"/>
        </w:rPr>
      </w:pPr>
      <w:r w:rsidRPr="004E1067">
        <w:rPr>
          <w:rFonts w:ascii="Times New Roman" w:hAnsi="Times New Roman" w:cs="Times New Roman"/>
        </w:rPr>
        <w:t>reflect</w:t>
      </w:r>
      <w:r>
        <w:rPr>
          <w:rFonts w:ascii="Times New Roman" w:hAnsi="Times New Roman" w:cs="Times New Roman"/>
        </w:rPr>
        <w:t>ing</w:t>
      </w:r>
      <w:r w:rsidRPr="004E1067">
        <w:rPr>
          <w:rFonts w:ascii="Times New Roman" w:hAnsi="Times New Roman" w:cs="Times New Roman"/>
        </w:rPr>
        <w:t xml:space="preserve"> the observer-dependent decomposition of invariant geometric structure</w:t>
      </w:r>
      <w:r w:rsidR="00BF117C">
        <w:rPr>
          <w:rFonts w:ascii="Times New Roman" w:hAnsi="Times New Roman" w:cs="Times New Roman"/>
        </w:rPr>
        <w:t xml:space="preserve">. </w:t>
      </w:r>
      <w:r w:rsidR="00C345F7">
        <w:rPr>
          <w:rFonts w:ascii="Times New Roman" w:hAnsi="Times New Roman" w:cs="Times New Roman"/>
        </w:rPr>
        <w:t>F</w:t>
      </w:r>
      <w:r w:rsidR="00D409F5" w:rsidRPr="000E6D34">
        <w:rPr>
          <w:rFonts w:ascii="Times New Roman" w:hAnsi="Times New Roman" w:cs="Times New Roman"/>
        </w:rPr>
        <w:t>ewer such units accumulate over a fixed observer interval. Proper time therefore satisfies:</w:t>
      </w:r>
    </w:p>
    <w:p w14:paraId="2BC127C0" w14:textId="4DE73B15" w:rsidR="00D409F5" w:rsidRPr="000E6D34" w:rsidRDefault="00D409F5" w:rsidP="000E6D34">
      <w:pPr>
        <w:ind w:firstLine="720"/>
        <w:jc w:val="both"/>
        <w:rPr>
          <w:rFonts w:ascii="Times New Roman" w:hAnsi="Times New Roman" w:cs="Times New Roman"/>
        </w:rPr>
      </w:pPr>
      <w:proofErr w:type="spellStart"/>
      <w:r w:rsidRPr="000E6D34">
        <w:rPr>
          <w:rFonts w:ascii="Times New Roman" w:hAnsi="Times New Roman" w:cs="Times New Roman"/>
        </w:rPr>
        <w:t>Δτ</w:t>
      </w:r>
      <w:proofErr w:type="spellEnd"/>
      <w:r w:rsidRPr="000E6D34">
        <w:rPr>
          <w:rFonts w:ascii="Times New Roman" w:hAnsi="Times New Roman" w:cs="Times New Roman"/>
        </w:rPr>
        <w:t xml:space="preserve"> = </w:t>
      </w:r>
      <w:proofErr w:type="spellStart"/>
      <w:r w:rsidRPr="000E6D34">
        <w:rPr>
          <w:rFonts w:ascii="Times New Roman" w:hAnsi="Times New Roman" w:cs="Times New Roman"/>
        </w:rPr>
        <w:t>Δt</w:t>
      </w:r>
      <w:proofErr w:type="spellEnd"/>
      <w:r w:rsidRPr="000E6D34">
        <w:rPr>
          <w:rFonts w:ascii="Times New Roman" w:hAnsi="Times New Roman" w:cs="Times New Roman"/>
        </w:rPr>
        <w:t xml:space="preserve"> / γ</w:t>
      </w:r>
    </w:p>
    <w:p w14:paraId="2C1EB5FC" w14:textId="6A03A859" w:rsidR="00D409F5" w:rsidRPr="000E6D34" w:rsidRDefault="00EC2A8B" w:rsidP="000E6D34">
      <w:pPr>
        <w:jc w:val="both"/>
        <w:rPr>
          <w:rFonts w:ascii="Times New Roman" w:hAnsi="Times New Roman" w:cs="Times New Roman"/>
        </w:rPr>
      </w:pPr>
      <w:r w:rsidRPr="00EC2A8B">
        <w:rPr>
          <w:rFonts w:ascii="Times New Roman" w:hAnsi="Times New Roman" w:cs="Times New Roman"/>
        </w:rPr>
        <w:t>Time dilation arises from redistribution of the invariant expansion between spatial components and x₄ under observer-dependent decomposition</w:t>
      </w:r>
      <w:r>
        <w:rPr>
          <w:rFonts w:ascii="Times New Roman" w:hAnsi="Times New Roman" w:cs="Times New Roman"/>
        </w:rPr>
        <w:t xml:space="preserve"> </w:t>
      </w:r>
      <w:r w:rsidR="00D409F5" w:rsidRPr="000E6D34">
        <w:rPr>
          <w:rFonts w:ascii="Times New Roman" w:hAnsi="Times New Roman" w:cs="Times New Roman"/>
        </w:rPr>
        <w:t>under the conserved expansion invariant.</w:t>
      </w:r>
    </w:p>
    <w:p w14:paraId="0A173D74" w14:textId="2166F80C" w:rsidR="00ED1D33" w:rsidRPr="000E6D34" w:rsidRDefault="00091434" w:rsidP="000E6D34">
      <w:pPr>
        <w:pStyle w:val="Heading2"/>
        <w:jc w:val="both"/>
        <w:rPr>
          <w:rFonts w:cs="Times New Roman"/>
        </w:rPr>
      </w:pPr>
      <w:r w:rsidRPr="000E6D34">
        <w:rPr>
          <w:rFonts w:cs="Times New Roman"/>
        </w:rPr>
        <w:t>3.4</w:t>
      </w:r>
      <w:r w:rsidR="00ED1D33" w:rsidRPr="000E6D34">
        <w:rPr>
          <w:rFonts w:cs="Times New Roman"/>
        </w:rPr>
        <w:t xml:space="preserve"> Measurement Resynchronisation and Observable Length Contraction</w:t>
      </w:r>
    </w:p>
    <w:p w14:paraId="0CE7BD3D" w14:textId="77777777" w:rsidR="000E6D34" w:rsidRPr="000E6D34" w:rsidRDefault="000E6D34" w:rsidP="000E6D34">
      <w:pPr>
        <w:spacing w:after="0"/>
        <w:jc w:val="both"/>
        <w:rPr>
          <w:rFonts w:ascii="Times New Roman" w:hAnsi="Times New Roman" w:cs="Times New Roman"/>
        </w:rPr>
      </w:pPr>
      <w:r w:rsidRPr="000E6D34">
        <w:rPr>
          <w:rFonts w:ascii="Times New Roman" w:hAnsi="Times New Roman" w:cs="Times New Roman"/>
        </w:rPr>
        <w:t>Observation enforces compatibility between the moving configuration and the observer’s Reality Plane metric. Projection selects the axis of relative motion and introduces a reciprocal longitudinal factor:</w:t>
      </w:r>
    </w:p>
    <w:p w14:paraId="524DD901" w14:textId="77777777" w:rsidR="000E6D34" w:rsidRDefault="000E6D34" w:rsidP="000E6D34">
      <w:pPr>
        <w:spacing w:after="0"/>
        <w:ind w:firstLine="720"/>
        <w:jc w:val="both"/>
        <w:rPr>
          <w:rFonts w:ascii="Times New Roman" w:hAnsi="Times New Roman" w:cs="Times New Roman"/>
        </w:rPr>
      </w:pPr>
      <w:r w:rsidRPr="000E6D34">
        <w:rPr>
          <w:rFonts w:ascii="Times New Roman" w:hAnsi="Times New Roman" w:cs="Times New Roman"/>
        </w:rPr>
        <w:t>L</w:t>
      </w:r>
      <w:r w:rsidRPr="000E6D34">
        <w:rPr>
          <w:rFonts w:ascii="Cambria Math" w:hAnsi="Cambria Math" w:cs="Cambria Math"/>
        </w:rPr>
        <w:t>∥</w:t>
      </w:r>
      <w:r w:rsidRPr="000E6D34">
        <w:rPr>
          <w:rFonts w:ascii="Times New Roman" w:hAnsi="Times New Roman" w:cs="Times New Roman"/>
        </w:rPr>
        <w:t>,</w:t>
      </w:r>
      <w:proofErr w:type="spellStart"/>
      <w:r w:rsidRPr="000E6D34">
        <w:rPr>
          <w:rFonts w:ascii="Times New Roman" w:hAnsi="Times New Roman" w:cs="Times New Roman"/>
        </w:rPr>
        <w:t>obs</w:t>
      </w:r>
      <w:proofErr w:type="spellEnd"/>
      <w:r w:rsidRPr="000E6D34">
        <w:rPr>
          <w:rFonts w:ascii="Times New Roman" w:hAnsi="Times New Roman" w:cs="Times New Roman"/>
        </w:rPr>
        <w:t xml:space="preserve"> = L₀ (ℓₚ / x₄′) = L₀ / γ</w:t>
      </w:r>
    </w:p>
    <w:p w14:paraId="315374A6" w14:textId="30E71FC1" w:rsidR="000E6D34" w:rsidRPr="000E6D34" w:rsidRDefault="000E6D34" w:rsidP="000E6D34">
      <w:pPr>
        <w:ind w:firstLine="720"/>
        <w:jc w:val="both"/>
        <w:rPr>
          <w:rFonts w:ascii="Times New Roman" w:hAnsi="Times New Roman" w:cs="Times New Roman"/>
        </w:rPr>
      </w:pPr>
      <w:r w:rsidRPr="000E6D34">
        <w:rPr>
          <w:rFonts w:ascii="Times New Roman" w:hAnsi="Times New Roman" w:cs="Times New Roman"/>
        </w:rPr>
        <w:t>L</w:t>
      </w:r>
      <w:r w:rsidRPr="000E6D34">
        <w:rPr>
          <w:rFonts w:ascii="Cambria Math" w:hAnsi="Cambria Math" w:cs="Cambria Math"/>
        </w:rPr>
        <w:t>⊥</w:t>
      </w:r>
      <w:r w:rsidRPr="000E6D34">
        <w:rPr>
          <w:rFonts w:ascii="Times New Roman" w:hAnsi="Times New Roman" w:cs="Times New Roman"/>
        </w:rPr>
        <w:t>,</w:t>
      </w:r>
      <w:proofErr w:type="spellStart"/>
      <w:r w:rsidRPr="000E6D34">
        <w:rPr>
          <w:rFonts w:ascii="Times New Roman" w:hAnsi="Times New Roman" w:cs="Times New Roman"/>
        </w:rPr>
        <w:t>obs</w:t>
      </w:r>
      <w:proofErr w:type="spellEnd"/>
      <w:r w:rsidRPr="000E6D34">
        <w:rPr>
          <w:rFonts w:ascii="Times New Roman" w:hAnsi="Times New Roman" w:cs="Times New Roman"/>
        </w:rPr>
        <w:t xml:space="preserve"> = L₀</w:t>
      </w:r>
    </w:p>
    <w:p w14:paraId="69AED394" w14:textId="77777777" w:rsidR="000E6D34" w:rsidRPr="000E6D34" w:rsidRDefault="000E6D34" w:rsidP="000E6D34">
      <w:pPr>
        <w:jc w:val="both"/>
        <w:rPr>
          <w:rFonts w:ascii="Times New Roman" w:hAnsi="Times New Roman" w:cs="Times New Roman"/>
        </w:rPr>
      </w:pPr>
      <w:r w:rsidRPr="000E6D34">
        <w:rPr>
          <w:rFonts w:ascii="Times New Roman" w:hAnsi="Times New Roman" w:cs="Times New Roman"/>
        </w:rPr>
        <w:t>Length contraction is therefore not physical compression within ℝ⁴ but the 3D projection consequence of expressing a rotated 4D configuration within the observer’s decomposition.</w:t>
      </w:r>
    </w:p>
    <w:p w14:paraId="4417468C" w14:textId="07B99244" w:rsidR="00ED1D33" w:rsidRPr="00D90A28" w:rsidRDefault="00091434" w:rsidP="0010425A">
      <w:pPr>
        <w:pStyle w:val="Heading2"/>
      </w:pPr>
      <w:r>
        <w:t>3.5</w:t>
      </w:r>
      <w:r w:rsidR="00ED1D33" w:rsidRPr="00D90A28">
        <w:t xml:space="preserve"> Unified Interpretation</w:t>
      </w:r>
    </w:p>
    <w:p w14:paraId="03CD366C" w14:textId="77777777" w:rsidR="00FA7327" w:rsidRPr="00FA7327" w:rsidRDefault="00FA7327" w:rsidP="00FA7327">
      <w:pPr>
        <w:spacing w:after="0"/>
        <w:jc w:val="both"/>
        <w:rPr>
          <w:rFonts w:ascii="Times New Roman" w:hAnsi="Times New Roman" w:cs="Times New Roman"/>
        </w:rPr>
      </w:pPr>
      <w:r w:rsidRPr="00FA7327">
        <w:rPr>
          <w:rFonts w:ascii="Times New Roman" w:hAnsi="Times New Roman" w:cs="Times New Roman"/>
        </w:rPr>
        <w:t>Relativistic phenomena arise from a single mechanism:</w:t>
      </w:r>
    </w:p>
    <w:p w14:paraId="28AED6EC" w14:textId="77777777" w:rsidR="00FA7327" w:rsidRPr="00FA7327" w:rsidRDefault="00FA7327" w:rsidP="00FA7327">
      <w:pPr>
        <w:pStyle w:val="ListParagraph"/>
        <w:numPr>
          <w:ilvl w:val="0"/>
          <w:numId w:val="34"/>
        </w:numPr>
        <w:spacing w:after="0"/>
        <w:jc w:val="both"/>
        <w:rPr>
          <w:rFonts w:ascii="Times New Roman" w:hAnsi="Times New Roman" w:cs="Times New Roman"/>
        </w:rPr>
      </w:pPr>
      <w:r w:rsidRPr="00FA7327">
        <w:rPr>
          <w:rFonts w:ascii="Times New Roman" w:hAnsi="Times New Roman" w:cs="Times New Roman"/>
        </w:rPr>
        <w:t xml:space="preserve">Acceleration → norm-preserving rotation of </w:t>
      </w:r>
      <w:r w:rsidRPr="00FA7327">
        <w:rPr>
          <w:rFonts w:ascii="Cambria Math" w:hAnsi="Cambria Math" w:cs="Cambria Math"/>
        </w:rPr>
        <w:t>𝐔</w:t>
      </w:r>
    </w:p>
    <w:p w14:paraId="195B51AF" w14:textId="77777777" w:rsidR="00FA7327" w:rsidRPr="00FA7327" w:rsidRDefault="00FA7327" w:rsidP="00FA7327">
      <w:pPr>
        <w:pStyle w:val="ListParagraph"/>
        <w:numPr>
          <w:ilvl w:val="0"/>
          <w:numId w:val="34"/>
        </w:numPr>
        <w:spacing w:after="0"/>
        <w:jc w:val="both"/>
        <w:rPr>
          <w:rFonts w:ascii="Times New Roman" w:hAnsi="Times New Roman" w:cs="Times New Roman"/>
        </w:rPr>
      </w:pPr>
      <w:r w:rsidRPr="00FA7327">
        <w:rPr>
          <w:rFonts w:ascii="Times New Roman" w:hAnsi="Times New Roman" w:cs="Times New Roman"/>
        </w:rPr>
        <w:t>Relational decomposition → γ mismatch between frames</w:t>
      </w:r>
    </w:p>
    <w:p w14:paraId="5701E692" w14:textId="77777777" w:rsidR="00FA7327" w:rsidRPr="00FA7327" w:rsidRDefault="00FA7327" w:rsidP="00FA7327">
      <w:pPr>
        <w:pStyle w:val="ListParagraph"/>
        <w:numPr>
          <w:ilvl w:val="0"/>
          <w:numId w:val="34"/>
        </w:numPr>
        <w:spacing w:after="0"/>
        <w:jc w:val="both"/>
        <w:rPr>
          <w:rFonts w:ascii="Times New Roman" w:hAnsi="Times New Roman" w:cs="Times New Roman"/>
        </w:rPr>
      </w:pPr>
      <w:r w:rsidRPr="00FA7327">
        <w:rPr>
          <w:rFonts w:ascii="Times New Roman" w:hAnsi="Times New Roman" w:cs="Times New Roman"/>
        </w:rPr>
        <w:t>Observation → metric compatibility</w:t>
      </w:r>
    </w:p>
    <w:p w14:paraId="72AD77CA" w14:textId="48A0AC61" w:rsidR="00FA7327" w:rsidRPr="00FA7327" w:rsidRDefault="00FA7327" w:rsidP="00FA7327">
      <w:pPr>
        <w:pStyle w:val="ListParagraph"/>
        <w:numPr>
          <w:ilvl w:val="0"/>
          <w:numId w:val="34"/>
        </w:numPr>
        <w:jc w:val="both"/>
        <w:rPr>
          <w:rFonts w:ascii="Times New Roman" w:hAnsi="Times New Roman" w:cs="Times New Roman"/>
        </w:rPr>
      </w:pPr>
      <w:r w:rsidRPr="00FA7327">
        <w:rPr>
          <w:rFonts w:ascii="Times New Roman" w:hAnsi="Times New Roman" w:cs="Times New Roman"/>
        </w:rPr>
        <w:t>Projection → reciprocal longitudinal contraction</w:t>
      </w:r>
    </w:p>
    <w:p w14:paraId="03D9872F" w14:textId="77777777" w:rsidR="00FA7327" w:rsidRPr="00FA7327" w:rsidRDefault="00FA7327" w:rsidP="00FA7327">
      <w:pPr>
        <w:jc w:val="both"/>
        <w:rPr>
          <w:rFonts w:ascii="Times New Roman" w:hAnsi="Times New Roman" w:cs="Times New Roman"/>
        </w:rPr>
      </w:pPr>
      <w:r w:rsidRPr="00FA7327">
        <w:rPr>
          <w:rFonts w:ascii="Times New Roman" w:hAnsi="Times New Roman" w:cs="Times New Roman"/>
        </w:rPr>
        <w:t>Time dilation, mass–energy increase, and length contraction are complementary observational aspects of the same conserved expansion structure. Special relativistic relations emerge as the uniform-velocity limit of the more general ε-field–driven dynamics.</w:t>
      </w:r>
    </w:p>
    <w:p w14:paraId="4B23C0DC" w14:textId="77777777" w:rsidR="00FA7327" w:rsidRPr="00FA7327" w:rsidRDefault="00FA7327" w:rsidP="00FA7327">
      <w:pPr>
        <w:jc w:val="both"/>
        <w:rPr>
          <w:rFonts w:ascii="Times New Roman" w:hAnsi="Times New Roman" w:cs="Times New Roman"/>
        </w:rPr>
      </w:pPr>
      <w:r w:rsidRPr="00FA7327">
        <w:rPr>
          <w:rFonts w:ascii="Times New Roman" w:hAnsi="Times New Roman" w:cs="Times New Roman"/>
        </w:rPr>
        <w:t>This scaling law applies to both kinetic motion and gravitational influence: local energy density modifies ε(x), inducing relational metric mismatch without invoking Lorentzian curvature.</w:t>
      </w:r>
    </w:p>
    <w:p w14:paraId="5EF12E61" w14:textId="177FB0AA" w:rsidR="00F62CA9" w:rsidRPr="00F62CA9" w:rsidRDefault="00091434" w:rsidP="003A5C99">
      <w:pPr>
        <w:pStyle w:val="Heading2"/>
        <w:spacing w:line="276" w:lineRule="auto"/>
        <w:jc w:val="both"/>
      </w:pPr>
      <w:r>
        <w:t>3.6</w:t>
      </w:r>
      <w:r w:rsidR="00F62CA9" w:rsidRPr="00F62CA9">
        <w:t xml:space="preserve"> Physical Interpretation</w:t>
      </w:r>
    </w:p>
    <w:p w14:paraId="4C23594B" w14:textId="4519CCD3" w:rsidR="00C300B8" w:rsidRPr="00C300B8" w:rsidRDefault="00C300B8" w:rsidP="00C300B8">
      <w:pPr>
        <w:jc w:val="both"/>
        <w:rPr>
          <w:rFonts w:ascii="Times New Roman" w:hAnsi="Times New Roman" w:cs="Times New Roman"/>
          <w:b/>
        </w:rPr>
      </w:pPr>
      <w:r w:rsidRPr="00C300B8">
        <w:rPr>
          <w:rFonts w:ascii="Times New Roman" w:hAnsi="Times New Roman" w:cs="Times New Roman"/>
        </w:rPr>
        <w:t xml:space="preserve">Relativistic behaviour in PLG arises from conservation of 4-dimensional expansion within a Euclidean manifold, with observed motion corresponding to redistribution between spatial components and progression along </w:t>
      </w:r>
      <w:r w:rsidRPr="00A559C1">
        <w:rPr>
          <w:rFonts w:ascii="Times New Roman" w:hAnsi="Times New Roman" w:cs="Times New Roman"/>
        </w:rPr>
        <w:t xml:space="preserve">x₄. </w:t>
      </w:r>
      <w:r w:rsidRPr="00C300B8">
        <w:rPr>
          <w:rFonts w:ascii="Times New Roman" w:hAnsi="Times New Roman" w:cs="Times New Roman"/>
        </w:rPr>
        <w:t>Projection-limit configurations define the invariant boundary condition underlying the observed constancy of c, while photon interactions provide the fundamental clock by which this relation is operationally realised. Lorentz transformations therefore emerge from geometric decomposition of the conserved expansion structure rather than from an independent postulate.</w:t>
      </w:r>
    </w:p>
    <w:p w14:paraId="74FBA23E" w14:textId="5CEEB1AE" w:rsidR="00A559C1" w:rsidRPr="00A559C1" w:rsidRDefault="00A559C1" w:rsidP="00A559C1">
      <w:pPr>
        <w:pStyle w:val="Heading1"/>
      </w:pPr>
      <w:r w:rsidRPr="00A559C1">
        <w:t xml:space="preserve">4. Gravitation: The PLG Field Equation </w:t>
      </w:r>
    </w:p>
    <w:p w14:paraId="748C2147" w14:textId="4DC83E54" w:rsidR="00A559C1" w:rsidRPr="00A559C1" w:rsidRDefault="00A559C1" w:rsidP="00A559C1">
      <w:pPr>
        <w:jc w:val="both"/>
        <w:rPr>
          <w:rFonts w:ascii="Times New Roman" w:hAnsi="Times New Roman" w:cs="Times New Roman"/>
        </w:rPr>
      </w:pPr>
      <w:r w:rsidRPr="00A559C1">
        <w:rPr>
          <w:rFonts w:ascii="Times New Roman" w:hAnsi="Times New Roman" w:cs="Times New Roman"/>
        </w:rPr>
        <w:t xml:space="preserve">In PLG, gravitation arises from spatial variation of the </w:t>
      </w:r>
      <w:r w:rsidR="007E4CC9" w:rsidRPr="007E4CC9">
        <w:rPr>
          <w:rFonts w:ascii="Times New Roman" w:hAnsi="Times New Roman" w:cs="Times New Roman"/>
        </w:rPr>
        <w:t>locally realised expansion magnitude ε(x)</w:t>
      </w:r>
      <w:r w:rsidR="007E4CC9">
        <w:rPr>
          <w:rFonts w:ascii="Times New Roman" w:hAnsi="Times New Roman" w:cs="Times New Roman"/>
        </w:rPr>
        <w:t xml:space="preserve">, </w:t>
      </w:r>
      <w:r w:rsidRPr="00A559C1">
        <w:rPr>
          <w:rFonts w:ascii="Times New Roman" w:hAnsi="Times New Roman" w:cs="Times New Roman"/>
        </w:rPr>
        <w:t xml:space="preserve">which determines the local magnitude of 4-dimensional expansion and therefore the accumulated distance–time relation along x₄. The field ε is not a spacetime metric degree of freedom; indices are raised and lowered with the Euclidean metric </w:t>
      </w:r>
      <w:proofErr w:type="spellStart"/>
      <w:r w:rsidRPr="00A559C1">
        <w:rPr>
          <w:rFonts w:ascii="Times New Roman" w:hAnsi="Times New Roman" w:cs="Times New Roman"/>
        </w:rPr>
        <w:t>δμν</w:t>
      </w:r>
      <w:proofErr w:type="spellEnd"/>
      <w:r w:rsidRPr="00A559C1">
        <w:rPr>
          <w:rFonts w:ascii="Times New Roman" w:hAnsi="Times New Roman" w:cs="Times New Roman"/>
        </w:rPr>
        <w:t>, and no null or degenerate metric enters the dynamics.</w:t>
      </w:r>
    </w:p>
    <w:p w14:paraId="3EE58B44" w14:textId="77777777" w:rsidR="00A559C1" w:rsidRPr="00A559C1" w:rsidRDefault="00A559C1" w:rsidP="00A559C1">
      <w:pPr>
        <w:spacing w:after="0"/>
        <w:jc w:val="both"/>
        <w:rPr>
          <w:rFonts w:ascii="Times New Roman" w:hAnsi="Times New Roman" w:cs="Times New Roman"/>
        </w:rPr>
      </w:pPr>
      <w:r w:rsidRPr="00A559C1">
        <w:rPr>
          <w:rFonts w:ascii="Times New Roman" w:hAnsi="Times New Roman" w:cs="Times New Roman"/>
        </w:rPr>
        <w:t>All derivatives are defined on ℝ⁴ with:</w:t>
      </w:r>
    </w:p>
    <w:p w14:paraId="071C8DE4" w14:textId="55DD01DA" w:rsidR="00A559C1" w:rsidRPr="00A559C1" w:rsidRDefault="00A559C1" w:rsidP="00A559C1">
      <w:pPr>
        <w:ind w:firstLine="720"/>
        <w:jc w:val="both"/>
        <w:rPr>
          <w:rFonts w:ascii="Times New Roman" w:hAnsi="Times New Roman" w:cs="Times New Roman"/>
        </w:rPr>
      </w:pPr>
      <w:r w:rsidRPr="00A559C1">
        <w:rPr>
          <w:rFonts w:ascii="Times New Roman" w:hAnsi="Times New Roman" w:cs="Times New Roman"/>
        </w:rPr>
        <w:t xml:space="preserve">∂^μ ε = </w:t>
      </w:r>
      <w:proofErr w:type="spellStart"/>
      <w:r w:rsidRPr="00A559C1">
        <w:rPr>
          <w:rFonts w:ascii="Times New Roman" w:hAnsi="Times New Roman" w:cs="Times New Roman"/>
        </w:rPr>
        <w:t>δ^μν</w:t>
      </w:r>
      <w:proofErr w:type="spellEnd"/>
      <w:r w:rsidRPr="00A559C1">
        <w:rPr>
          <w:rFonts w:ascii="Times New Roman" w:hAnsi="Times New Roman" w:cs="Times New Roman"/>
        </w:rPr>
        <w:t xml:space="preserve"> ∂_ν ε</w:t>
      </w:r>
    </w:p>
    <w:p w14:paraId="4E7127AB" w14:textId="6A5B0855" w:rsidR="00A559C1" w:rsidRPr="00A559C1" w:rsidRDefault="00A559C1" w:rsidP="00A559C1">
      <w:pPr>
        <w:jc w:val="both"/>
        <w:rPr>
          <w:rFonts w:ascii="Times New Roman" w:hAnsi="Times New Roman" w:cs="Times New Roman"/>
        </w:rPr>
      </w:pPr>
      <w:r w:rsidRPr="00A559C1">
        <w:rPr>
          <w:rFonts w:ascii="Times New Roman" w:hAnsi="Times New Roman" w:cs="Times New Roman"/>
        </w:rPr>
        <w:t>The source ρ is the ordinary mass–energy density defined on the observer’s Reality Plane and is taken to be independent of x₄ in the quasi-static limit.</w:t>
      </w:r>
    </w:p>
    <w:p w14:paraId="660BAF26" w14:textId="77777777" w:rsidR="00A559C1" w:rsidRPr="00A559C1" w:rsidRDefault="00A559C1" w:rsidP="0049597A">
      <w:pPr>
        <w:pStyle w:val="Heading2"/>
      </w:pPr>
      <w:r w:rsidRPr="00A559C1">
        <w:t>4.1 Action Principle and Field Equation</w:t>
      </w:r>
    </w:p>
    <w:p w14:paraId="694B3173" w14:textId="40A9BE02"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 xml:space="preserve">To obtain the governing equation for ε, </w:t>
      </w:r>
      <w:r w:rsidR="004B5C79">
        <w:rPr>
          <w:rFonts w:ascii="Times New Roman" w:hAnsi="Times New Roman" w:cs="Times New Roman"/>
        </w:rPr>
        <w:t>consider</w:t>
      </w:r>
      <w:r w:rsidRPr="00A559C1">
        <w:rPr>
          <w:rFonts w:ascii="Times New Roman" w:hAnsi="Times New Roman" w:cs="Times New Roman"/>
        </w:rPr>
        <w:t xml:space="preserve"> the action functional:</w:t>
      </w:r>
    </w:p>
    <w:p w14:paraId="04B4F128" w14:textId="3A217AE4" w:rsidR="00A559C1" w:rsidRPr="00A559C1"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S_IF = ∫ [ (1 / 2K)(∂_μ ε)(∂^μ ε) − (4πG / C₄) ρ(</w:t>
      </w:r>
      <w:proofErr w:type="spellStart"/>
      <w:r w:rsidRPr="00A559C1">
        <w:rPr>
          <w:rFonts w:ascii="Times New Roman" w:hAnsi="Times New Roman" w:cs="Times New Roman"/>
        </w:rPr>
        <w:t>x₁,x₂,x</w:t>
      </w:r>
      <w:proofErr w:type="spellEnd"/>
      <w:r w:rsidRPr="00A559C1">
        <w:rPr>
          <w:rFonts w:ascii="Times New Roman" w:hAnsi="Times New Roman" w:cs="Times New Roman"/>
        </w:rPr>
        <w:t xml:space="preserve">₃) δ(x₄) ε ] </w:t>
      </w:r>
      <w:proofErr w:type="spellStart"/>
      <w:r w:rsidRPr="00A559C1">
        <w:rPr>
          <w:rFonts w:ascii="Times New Roman" w:hAnsi="Times New Roman" w:cs="Times New Roman"/>
        </w:rPr>
        <w:t>d⁴x</w:t>
      </w:r>
      <w:proofErr w:type="spellEnd"/>
    </w:p>
    <w:p w14:paraId="2C943FFC" w14:textId="77777777" w:rsidR="00A559C1" w:rsidRPr="00A559C1" w:rsidRDefault="00A559C1" w:rsidP="00A559C1">
      <w:pPr>
        <w:jc w:val="both"/>
        <w:rPr>
          <w:rFonts w:ascii="Times New Roman" w:hAnsi="Times New Roman" w:cs="Times New Roman"/>
        </w:rPr>
      </w:pPr>
      <w:r w:rsidRPr="00A559C1">
        <w:rPr>
          <w:rFonts w:ascii="Times New Roman" w:hAnsi="Times New Roman" w:cs="Times New Roman"/>
        </w:rPr>
        <w:t>where K is a normalization constant, G is Newton’s constant, and C₄ is the invariant expansion magnitude. The Dirac delta restricts matter to the 3D Reality Plane embedded in ℝ⁴.</w:t>
      </w:r>
    </w:p>
    <w:p w14:paraId="4E675FB7"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Applying the Euler–Lagrange equation:</w:t>
      </w:r>
    </w:p>
    <w:p w14:paraId="6ECFE005" w14:textId="14B8C169" w:rsidR="00A559C1" w:rsidRPr="00A559C1"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∂_μ ( ∂L/∂(∂_μ ε) ) − ∂L/∂ε = 0</w:t>
      </w:r>
    </w:p>
    <w:p w14:paraId="37D21947"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yields:</w:t>
      </w:r>
    </w:p>
    <w:p w14:paraId="12207D35" w14:textId="1D0C4765" w:rsidR="00A559C1" w:rsidRPr="00A559C1" w:rsidRDefault="00A559C1" w:rsidP="0049597A">
      <w:pPr>
        <w:ind w:firstLine="720"/>
        <w:jc w:val="both"/>
        <w:rPr>
          <w:rFonts w:ascii="Times New Roman" w:hAnsi="Times New Roman" w:cs="Times New Roman"/>
        </w:rPr>
      </w:pPr>
      <w:r w:rsidRPr="00A559C1">
        <w:rPr>
          <w:rFonts w:ascii="Cambria Math" w:hAnsi="Cambria Math" w:cs="Cambria Math"/>
        </w:rPr>
        <w:t>∇</w:t>
      </w:r>
      <w:r w:rsidRPr="00A559C1">
        <w:rPr>
          <w:rFonts w:ascii="Times New Roman" w:hAnsi="Times New Roman" w:cs="Times New Roman"/>
        </w:rPr>
        <w:t>₄² ε = (4πG / C₄) ρ</w:t>
      </w:r>
    </w:p>
    <w:p w14:paraId="03700784"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This is the PLG Field Equation. It is structurally analogous to the Poisson equation:</w:t>
      </w:r>
    </w:p>
    <w:p w14:paraId="7BDCFB56" w14:textId="3C5D98E6" w:rsidR="00A559C1" w:rsidRPr="00A559C1" w:rsidRDefault="00A559C1" w:rsidP="0049597A">
      <w:pPr>
        <w:spacing w:after="0"/>
        <w:ind w:firstLine="720"/>
        <w:jc w:val="both"/>
        <w:rPr>
          <w:rFonts w:ascii="Times New Roman" w:hAnsi="Times New Roman" w:cs="Times New Roman"/>
        </w:rPr>
      </w:pPr>
      <w:r w:rsidRPr="00A559C1">
        <w:rPr>
          <w:rFonts w:ascii="Cambria Math" w:hAnsi="Cambria Math" w:cs="Cambria Math"/>
        </w:rPr>
        <w:t>∇</w:t>
      </w:r>
      <w:r w:rsidRPr="00A559C1">
        <w:rPr>
          <w:rFonts w:ascii="Times New Roman" w:hAnsi="Times New Roman" w:cs="Times New Roman"/>
        </w:rPr>
        <w:t>₃² Φ = 4π</w:t>
      </w:r>
      <w:proofErr w:type="spellStart"/>
      <w:r w:rsidRPr="00A559C1">
        <w:rPr>
          <w:rFonts w:ascii="Times New Roman" w:hAnsi="Times New Roman" w:cs="Times New Roman"/>
        </w:rPr>
        <w:t>Gρ</w:t>
      </w:r>
      <w:proofErr w:type="spellEnd"/>
    </w:p>
    <w:p w14:paraId="757A9792" w14:textId="1D4D1FC4" w:rsidR="00A559C1" w:rsidRDefault="00A559C1" w:rsidP="00A559C1">
      <w:pPr>
        <w:jc w:val="both"/>
        <w:rPr>
          <w:rFonts w:ascii="Times New Roman" w:hAnsi="Times New Roman" w:cs="Times New Roman"/>
        </w:rPr>
      </w:pPr>
      <w:r w:rsidRPr="00A559C1">
        <w:rPr>
          <w:rFonts w:ascii="Times New Roman" w:hAnsi="Times New Roman" w:cs="Times New Roman"/>
        </w:rPr>
        <w:t xml:space="preserve">but generalized to the Euclidean 4-manifold where ε replaces the gravitational potential as the </w:t>
      </w:r>
      <w:r w:rsidR="00D23B8E" w:rsidRPr="00D23B8E">
        <w:rPr>
          <w:rFonts w:ascii="Times New Roman" w:hAnsi="Times New Roman" w:cs="Times New Roman"/>
        </w:rPr>
        <w:t>expansion magnitude field ε(x)</w:t>
      </w:r>
      <w:r w:rsidRPr="00A559C1">
        <w:rPr>
          <w:rFonts w:ascii="Times New Roman" w:hAnsi="Times New Roman" w:cs="Times New Roman"/>
        </w:rPr>
        <w:t>.</w:t>
      </w:r>
    </w:p>
    <w:p w14:paraId="6FABEF4D" w14:textId="2618EEBA" w:rsidR="00761EEF" w:rsidRPr="00A559C1" w:rsidRDefault="00761EEF" w:rsidP="00A559C1">
      <w:pPr>
        <w:jc w:val="both"/>
        <w:rPr>
          <w:rFonts w:ascii="Times New Roman" w:hAnsi="Times New Roman" w:cs="Times New Roman"/>
        </w:rPr>
      </w:pPr>
      <w:r w:rsidRPr="00761EEF">
        <w:rPr>
          <w:rFonts w:ascii="Times New Roman" w:hAnsi="Times New Roman" w:cs="Times New Roman"/>
        </w:rPr>
        <w:t>In the present formulation the source term is expressed using the ordinary mass</w:t>
      </w:r>
      <w:r>
        <w:rPr>
          <w:rFonts w:ascii="Times New Roman" w:hAnsi="Times New Roman" w:cs="Times New Roman"/>
        </w:rPr>
        <w:t>-</w:t>
      </w:r>
      <w:r w:rsidRPr="00761EEF">
        <w:rPr>
          <w:rFonts w:ascii="Times New Roman" w:hAnsi="Times New Roman" w:cs="Times New Roman"/>
        </w:rPr>
        <w:t>energy density ρ defined on the Reality Plane. In a fully covariant treatment the coupling would arise from projection of the energy</w:t>
      </w:r>
      <w:r>
        <w:rPr>
          <w:rFonts w:ascii="Times New Roman" w:hAnsi="Times New Roman" w:cs="Times New Roman"/>
        </w:rPr>
        <w:t>-</w:t>
      </w:r>
      <w:r w:rsidRPr="00761EEF">
        <w:rPr>
          <w:rFonts w:ascii="Times New Roman" w:hAnsi="Times New Roman" w:cs="Times New Roman"/>
        </w:rPr>
        <w:t>momentum tensor of matter fields into the expansion dynamics of the four-dimensional manifold. For the quasi-static weak-field regime considered here, the scalar density provides the dominant contribution and is sufficient to reproduce the classical gravitational limit.</w:t>
      </w:r>
    </w:p>
    <w:p w14:paraId="7B15AD7A" w14:textId="77777777" w:rsidR="00A559C1" w:rsidRPr="00A559C1" w:rsidRDefault="00A559C1" w:rsidP="0049597A">
      <w:pPr>
        <w:pStyle w:val="Heading2"/>
      </w:pPr>
      <w:r w:rsidRPr="00A559C1">
        <w:t>4.2 Newtonian Limit</w:t>
      </w:r>
    </w:p>
    <w:p w14:paraId="09AD21D3"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In weak fields, write:</w:t>
      </w:r>
    </w:p>
    <w:p w14:paraId="51F762E9" w14:textId="1803002F" w:rsidR="00A559C1" w:rsidRPr="00A559C1"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 xml:space="preserve">ε ≈ C₄ + Φ / C₄, with |Φ| </w:t>
      </w:r>
      <w:r w:rsidRPr="00A559C1">
        <w:rPr>
          <w:rFonts w:ascii="Cambria Math" w:hAnsi="Cambria Math" w:cs="Cambria Math"/>
        </w:rPr>
        <w:t>≪</w:t>
      </w:r>
      <w:r w:rsidRPr="00A559C1">
        <w:rPr>
          <w:rFonts w:ascii="Times New Roman" w:hAnsi="Times New Roman" w:cs="Times New Roman"/>
        </w:rPr>
        <w:t xml:space="preserve"> C₄²</w:t>
      </w:r>
    </w:p>
    <w:p w14:paraId="1A9A5485"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Substituting into the field equation and neglecting derivatives with respect to x₄ gives:</w:t>
      </w:r>
    </w:p>
    <w:p w14:paraId="2DA93DEC" w14:textId="25F1DFE0" w:rsidR="00A559C1" w:rsidRPr="00A559C1" w:rsidRDefault="00A559C1" w:rsidP="0049597A">
      <w:pPr>
        <w:spacing w:after="0"/>
        <w:ind w:firstLine="720"/>
        <w:jc w:val="both"/>
        <w:rPr>
          <w:rFonts w:ascii="Times New Roman" w:hAnsi="Times New Roman" w:cs="Times New Roman"/>
        </w:rPr>
      </w:pPr>
      <w:r w:rsidRPr="00A559C1">
        <w:rPr>
          <w:rFonts w:ascii="Cambria Math" w:hAnsi="Cambria Math" w:cs="Cambria Math"/>
        </w:rPr>
        <w:t>∇</w:t>
      </w:r>
      <w:r w:rsidRPr="00A559C1">
        <w:rPr>
          <w:rFonts w:ascii="Times New Roman" w:hAnsi="Times New Roman" w:cs="Times New Roman"/>
        </w:rPr>
        <w:t>₃² Φ = 4π</w:t>
      </w:r>
      <w:proofErr w:type="spellStart"/>
      <w:r w:rsidRPr="00A559C1">
        <w:rPr>
          <w:rFonts w:ascii="Times New Roman" w:hAnsi="Times New Roman" w:cs="Times New Roman"/>
        </w:rPr>
        <w:t>Gρ</w:t>
      </w:r>
      <w:proofErr w:type="spellEnd"/>
    </w:p>
    <w:p w14:paraId="6E90490D" w14:textId="708F8E9E" w:rsidR="00A559C1" w:rsidRPr="00A559C1" w:rsidRDefault="00A559C1" w:rsidP="00A559C1">
      <w:pPr>
        <w:jc w:val="both"/>
        <w:rPr>
          <w:rFonts w:ascii="Times New Roman" w:hAnsi="Times New Roman" w:cs="Times New Roman"/>
        </w:rPr>
      </w:pPr>
      <w:r w:rsidRPr="00A559C1">
        <w:rPr>
          <w:rFonts w:ascii="Times New Roman" w:hAnsi="Times New Roman" w:cs="Times New Roman"/>
        </w:rPr>
        <w:t>recovering the Poisson equation of Newtonian gravity</w:t>
      </w:r>
      <w:r w:rsidR="00357650">
        <w:rPr>
          <w:rFonts w:ascii="Times New Roman" w:hAnsi="Times New Roman" w:cs="Times New Roman"/>
        </w:rPr>
        <w:t xml:space="preserve"> </w:t>
      </w:r>
      <w:r w:rsidR="00357650" w:rsidRPr="00357650">
        <w:rPr>
          <w:rFonts w:ascii="Times New Roman" w:hAnsi="Times New Roman" w:cs="Times New Roman"/>
        </w:rPr>
        <w:t>[5, 6].</w:t>
      </w:r>
    </w:p>
    <w:p w14:paraId="304F71DB" w14:textId="77777777" w:rsidR="00A559C1" w:rsidRPr="00A559C1" w:rsidRDefault="00A559C1" w:rsidP="0049597A">
      <w:pPr>
        <w:pStyle w:val="Heading2"/>
      </w:pPr>
      <w:r w:rsidRPr="00A559C1">
        <w:t>4.3 Static Vacuum Solution</w:t>
      </w:r>
    </w:p>
    <w:p w14:paraId="72CFBB64"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For a static, spherically symmetric vacuum (ρ = 0):</w:t>
      </w:r>
    </w:p>
    <w:p w14:paraId="2654ED8E" w14:textId="4E316B6B" w:rsidR="00A559C1" w:rsidRPr="00A559C1" w:rsidRDefault="00A559C1" w:rsidP="0049597A">
      <w:pPr>
        <w:ind w:firstLine="720"/>
        <w:jc w:val="both"/>
        <w:rPr>
          <w:rFonts w:ascii="Times New Roman" w:hAnsi="Times New Roman" w:cs="Times New Roman"/>
        </w:rPr>
      </w:pPr>
      <w:r w:rsidRPr="00A559C1">
        <w:rPr>
          <w:rFonts w:ascii="Cambria Math" w:hAnsi="Cambria Math" w:cs="Cambria Math"/>
        </w:rPr>
        <w:t>∇</w:t>
      </w:r>
      <w:r w:rsidRPr="00A559C1">
        <w:rPr>
          <w:rFonts w:ascii="Times New Roman" w:hAnsi="Times New Roman" w:cs="Times New Roman"/>
        </w:rPr>
        <w:t>₄² ε = 0</w:t>
      </w:r>
    </w:p>
    <w:p w14:paraId="232A2EBD"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The radial harmonic solution is:</w:t>
      </w:r>
    </w:p>
    <w:p w14:paraId="244FCD72" w14:textId="2AFC67FD"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ε(r) = C₄ − GM / (C₄ r)</w:t>
      </w:r>
    </w:p>
    <w:p w14:paraId="24895E84"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The local clock relation is:</w:t>
      </w:r>
    </w:p>
    <w:p w14:paraId="44FBA819" w14:textId="0CCA036C" w:rsidR="00A559C1" w:rsidRPr="00A559C1" w:rsidRDefault="00A559C1" w:rsidP="0049597A">
      <w:pPr>
        <w:ind w:firstLine="720"/>
        <w:jc w:val="both"/>
        <w:rPr>
          <w:rFonts w:ascii="Times New Roman" w:hAnsi="Times New Roman" w:cs="Times New Roman"/>
        </w:rPr>
      </w:pPr>
      <w:proofErr w:type="spellStart"/>
      <w:r w:rsidRPr="00A559C1">
        <w:rPr>
          <w:rFonts w:ascii="Times New Roman" w:hAnsi="Times New Roman" w:cs="Times New Roman"/>
        </w:rPr>
        <w:t>dτ</w:t>
      </w:r>
      <w:proofErr w:type="spellEnd"/>
      <w:r w:rsidRPr="00A559C1">
        <w:rPr>
          <w:rFonts w:ascii="Times New Roman" w:hAnsi="Times New Roman" w:cs="Times New Roman"/>
        </w:rPr>
        <w:t xml:space="preserve"> / dt = ε(r) / C₄</w:t>
      </w:r>
    </w:p>
    <w:p w14:paraId="056C9F20"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For small GM/(C₄² r):</w:t>
      </w:r>
    </w:p>
    <w:p w14:paraId="33215283" w14:textId="49B4CAE0" w:rsidR="00A559C1" w:rsidRPr="00A559C1"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ε(r)/C₄ = 1 − GM/(C₄² r) ≈ √(1 − 2GM/(C₄² r))</w:t>
      </w:r>
    </w:p>
    <w:p w14:paraId="206734CC" w14:textId="77777777" w:rsidR="00A559C1" w:rsidRPr="00A559C1" w:rsidRDefault="00A559C1" w:rsidP="00A559C1">
      <w:pPr>
        <w:jc w:val="both"/>
        <w:rPr>
          <w:rFonts w:ascii="Times New Roman" w:hAnsi="Times New Roman" w:cs="Times New Roman"/>
        </w:rPr>
      </w:pPr>
      <w:r w:rsidRPr="00A559C1">
        <w:rPr>
          <w:rFonts w:ascii="Times New Roman" w:hAnsi="Times New Roman" w:cs="Times New Roman"/>
        </w:rPr>
        <w:t>recovering the Schwarzschild redshift factor to first order. This establishes weak-field consistency without invoking Lorentzian curvature.</w:t>
      </w:r>
    </w:p>
    <w:p w14:paraId="572E7283" w14:textId="09E76A57" w:rsidR="00A559C1" w:rsidRPr="00A559C1" w:rsidRDefault="00A559C1" w:rsidP="00A559C1">
      <w:pPr>
        <w:jc w:val="both"/>
        <w:rPr>
          <w:rFonts w:ascii="Times New Roman" w:hAnsi="Times New Roman" w:cs="Times New Roman"/>
        </w:rPr>
      </w:pPr>
      <w:r w:rsidRPr="00A559C1">
        <w:rPr>
          <w:rFonts w:ascii="Times New Roman" w:hAnsi="Times New Roman" w:cs="Times New Roman"/>
        </w:rPr>
        <w:t>Higher-order metric equivalence is not assumed; the correspondence is restricted to the weak-field regime.</w:t>
      </w:r>
    </w:p>
    <w:p w14:paraId="2BEBF9BC" w14:textId="77777777" w:rsidR="00A559C1" w:rsidRPr="00A559C1" w:rsidRDefault="00A559C1" w:rsidP="0049597A">
      <w:pPr>
        <w:pStyle w:val="Heading2"/>
      </w:pPr>
      <w:r w:rsidRPr="00A559C1">
        <w:t>4.4 Weak-Field Gravitational Lensing</w:t>
      </w:r>
    </w:p>
    <w:p w14:paraId="16D87B97"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In weak fields, write:</w:t>
      </w:r>
    </w:p>
    <w:p w14:paraId="0A09FE9D" w14:textId="7F1A1729"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ε(x) = C₄ (1 − Φ(x)/C₄²)</w:t>
      </w:r>
    </w:p>
    <w:p w14:paraId="3C798DB3"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The local invariant becomes:</w:t>
      </w:r>
    </w:p>
    <w:p w14:paraId="1E3DDC81" w14:textId="1E74FF23"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v² + u₄² = ε(x)² ≈ C₄² (1 − 2Φ/C₄²)</w:t>
      </w:r>
    </w:p>
    <w:p w14:paraId="4640F77C"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For projection-limit configurations (u₄ → 0), the effective projection speed is:</w:t>
      </w:r>
    </w:p>
    <w:p w14:paraId="456339D8" w14:textId="5C4FBE1D" w:rsidR="00A559C1" w:rsidRPr="00A559C1" w:rsidRDefault="00A559C1" w:rsidP="0049597A">
      <w:pPr>
        <w:ind w:firstLine="720"/>
        <w:jc w:val="both"/>
        <w:rPr>
          <w:rFonts w:ascii="Times New Roman" w:hAnsi="Times New Roman" w:cs="Times New Roman"/>
        </w:rPr>
      </w:pPr>
      <w:proofErr w:type="spellStart"/>
      <w:r w:rsidRPr="00A559C1">
        <w:rPr>
          <w:rFonts w:ascii="Times New Roman" w:hAnsi="Times New Roman" w:cs="Times New Roman"/>
        </w:rPr>
        <w:t>v_eff</w:t>
      </w:r>
      <w:proofErr w:type="spellEnd"/>
      <w:r w:rsidRPr="00A559C1">
        <w:rPr>
          <w:rFonts w:ascii="Times New Roman" w:hAnsi="Times New Roman" w:cs="Times New Roman"/>
        </w:rPr>
        <w:t>(x) = ε(x) ≈ C₄ (1 − Φ/C₄²)</w:t>
      </w:r>
    </w:p>
    <w:p w14:paraId="0AAEFF98"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Define the refractive index:</w:t>
      </w:r>
    </w:p>
    <w:p w14:paraId="769021D0" w14:textId="7B2294A2"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 xml:space="preserve">n(x) = C₄ / </w:t>
      </w:r>
      <w:proofErr w:type="spellStart"/>
      <w:r w:rsidRPr="00A559C1">
        <w:rPr>
          <w:rFonts w:ascii="Times New Roman" w:hAnsi="Times New Roman" w:cs="Times New Roman"/>
        </w:rPr>
        <w:t>v_eff</w:t>
      </w:r>
      <w:proofErr w:type="spellEnd"/>
      <w:r w:rsidRPr="00A559C1">
        <w:rPr>
          <w:rFonts w:ascii="Times New Roman" w:hAnsi="Times New Roman" w:cs="Times New Roman"/>
        </w:rPr>
        <w:t>(x) ≈ 1 + Φ/C₄²</w:t>
      </w:r>
    </w:p>
    <w:p w14:paraId="126E203A"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For Φ(r) = −GM/r, the transverse gradient yields deflection:</w:t>
      </w:r>
    </w:p>
    <w:p w14:paraId="25D707B2" w14:textId="11A80C9E" w:rsidR="00A559C1" w:rsidRPr="00A559C1" w:rsidRDefault="00A559C1" w:rsidP="0049597A">
      <w:pPr>
        <w:ind w:firstLine="720"/>
        <w:jc w:val="both"/>
        <w:rPr>
          <w:rFonts w:ascii="Times New Roman" w:hAnsi="Times New Roman" w:cs="Times New Roman"/>
          <w:lang w:val="pt-BR"/>
        </w:rPr>
      </w:pPr>
      <w:r w:rsidRPr="00A559C1">
        <w:rPr>
          <w:rFonts w:ascii="Times New Roman" w:hAnsi="Times New Roman" w:cs="Times New Roman"/>
        </w:rPr>
        <w:t>α</w:t>
      </w:r>
      <w:r w:rsidRPr="00A559C1">
        <w:rPr>
          <w:rFonts w:ascii="Times New Roman" w:hAnsi="Times New Roman" w:cs="Times New Roman"/>
          <w:lang w:val="pt-BR"/>
        </w:rPr>
        <w:t xml:space="preserve"> = 2 ∫ (GM b / C₄² r³) </w:t>
      </w:r>
      <w:proofErr w:type="spellStart"/>
      <w:r w:rsidRPr="00A559C1">
        <w:rPr>
          <w:rFonts w:ascii="Times New Roman" w:hAnsi="Times New Roman" w:cs="Times New Roman"/>
          <w:lang w:val="pt-BR"/>
        </w:rPr>
        <w:t>dz</w:t>
      </w:r>
      <w:proofErr w:type="spellEnd"/>
      <w:r w:rsidR="0049597A">
        <w:rPr>
          <w:rFonts w:ascii="Times New Roman" w:hAnsi="Times New Roman" w:cs="Times New Roman"/>
          <w:lang w:val="pt-BR"/>
        </w:rPr>
        <w:t xml:space="preserve"> </w:t>
      </w:r>
      <w:r w:rsidRPr="00A559C1">
        <w:rPr>
          <w:rFonts w:ascii="Times New Roman" w:hAnsi="Times New Roman" w:cs="Times New Roman"/>
          <w:lang w:val="pt-BR"/>
        </w:rPr>
        <w:t>= 4GM / (C₄² b)</w:t>
      </w:r>
    </w:p>
    <w:p w14:paraId="454EFB19"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Identifying C₄ ≡ c:</w:t>
      </w:r>
    </w:p>
    <w:p w14:paraId="0203DA35" w14:textId="7E5FAEF5"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α = 4GM / (c² b)</w:t>
      </w:r>
    </w:p>
    <w:p w14:paraId="68D6DAD9"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The Shapiro delay follows from:</w:t>
      </w:r>
    </w:p>
    <w:p w14:paraId="7BE7509B" w14:textId="77777777" w:rsidR="0049597A" w:rsidRDefault="00A559C1" w:rsidP="0049597A">
      <w:pPr>
        <w:spacing w:after="0"/>
        <w:ind w:firstLine="720"/>
        <w:jc w:val="both"/>
        <w:rPr>
          <w:rFonts w:ascii="Times New Roman" w:hAnsi="Times New Roman" w:cs="Times New Roman"/>
        </w:rPr>
      </w:pPr>
      <w:proofErr w:type="spellStart"/>
      <w:r w:rsidRPr="00A559C1">
        <w:rPr>
          <w:rFonts w:ascii="Times New Roman" w:hAnsi="Times New Roman" w:cs="Times New Roman"/>
        </w:rPr>
        <w:t>Δt</w:t>
      </w:r>
      <w:proofErr w:type="spellEnd"/>
      <w:r w:rsidRPr="00A559C1">
        <w:rPr>
          <w:rFonts w:ascii="Times New Roman" w:hAnsi="Times New Roman" w:cs="Times New Roman"/>
        </w:rPr>
        <w:t xml:space="preserve"> = ∫ (n(x) − 1) </w:t>
      </w:r>
      <w:proofErr w:type="spellStart"/>
      <w:r w:rsidRPr="00A559C1">
        <w:rPr>
          <w:rFonts w:ascii="Times New Roman" w:hAnsi="Times New Roman" w:cs="Times New Roman"/>
        </w:rPr>
        <w:t>dz</w:t>
      </w:r>
      <w:proofErr w:type="spellEnd"/>
      <w:r w:rsidRPr="00A559C1">
        <w:rPr>
          <w:rFonts w:ascii="Times New Roman" w:hAnsi="Times New Roman" w:cs="Times New Roman"/>
        </w:rPr>
        <w:t xml:space="preserve"> / C₄</w:t>
      </w:r>
    </w:p>
    <w:p w14:paraId="16067BC0" w14:textId="6E881680" w:rsidR="0049597A"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 xml:space="preserve">≈ ∫ Φ(r) </w:t>
      </w:r>
      <w:proofErr w:type="spellStart"/>
      <w:r w:rsidRPr="00A559C1">
        <w:rPr>
          <w:rFonts w:ascii="Times New Roman" w:hAnsi="Times New Roman" w:cs="Times New Roman"/>
        </w:rPr>
        <w:t>dz</w:t>
      </w:r>
      <w:proofErr w:type="spellEnd"/>
      <w:r w:rsidRPr="00A559C1">
        <w:rPr>
          <w:rFonts w:ascii="Times New Roman" w:hAnsi="Times New Roman" w:cs="Times New Roman"/>
        </w:rPr>
        <w:t xml:space="preserve"> / C₄³</w:t>
      </w:r>
    </w:p>
    <w:p w14:paraId="1596AE7F" w14:textId="6376D898"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 (2GM / C₄³) ln( (4r₁ r₂)/b² )</w:t>
      </w:r>
    </w:p>
    <w:p w14:paraId="331A38B4" w14:textId="0C43BEAF" w:rsidR="00A559C1" w:rsidRPr="00A559C1" w:rsidRDefault="00A559C1" w:rsidP="00A559C1">
      <w:pPr>
        <w:jc w:val="both"/>
        <w:rPr>
          <w:rFonts w:ascii="Times New Roman" w:hAnsi="Times New Roman" w:cs="Times New Roman"/>
        </w:rPr>
      </w:pPr>
      <w:r w:rsidRPr="00A559C1">
        <w:rPr>
          <w:rFonts w:ascii="Times New Roman" w:hAnsi="Times New Roman" w:cs="Times New Roman"/>
        </w:rPr>
        <w:t>Thus weak-field lensing and time delay match standard results without curvature-based geodesics.</w:t>
      </w:r>
    </w:p>
    <w:p w14:paraId="0FFE1C19" w14:textId="77777777" w:rsidR="00A559C1" w:rsidRPr="00A559C1" w:rsidRDefault="00A559C1" w:rsidP="0049597A">
      <w:pPr>
        <w:pStyle w:val="Heading2"/>
      </w:pPr>
      <w:r w:rsidRPr="00A559C1">
        <w:t>4.5 Interior Regularity and Maximum Density</w:t>
      </w:r>
    </w:p>
    <w:p w14:paraId="6EC47F48" w14:textId="22291ED4" w:rsidR="00A559C1" w:rsidRPr="00A559C1" w:rsidRDefault="00A559C1" w:rsidP="00A559C1">
      <w:pPr>
        <w:jc w:val="both"/>
        <w:rPr>
          <w:rFonts w:ascii="Times New Roman" w:hAnsi="Times New Roman" w:cs="Times New Roman"/>
        </w:rPr>
      </w:pPr>
      <w:r w:rsidRPr="00A559C1">
        <w:rPr>
          <w:rFonts w:ascii="Times New Roman" w:hAnsi="Times New Roman" w:cs="Times New Roman"/>
        </w:rPr>
        <w:t xml:space="preserve">As ε → 0 corresponds to a limiting expansion state, collapse cannot drive ε negative or divergent. Assuming a finite maximum density </w:t>
      </w:r>
      <w:proofErr w:type="spellStart"/>
      <w:r w:rsidRPr="00A559C1">
        <w:rPr>
          <w:rFonts w:ascii="Times New Roman" w:hAnsi="Times New Roman" w:cs="Times New Roman"/>
        </w:rPr>
        <w:t>ρ_max</w:t>
      </w:r>
      <w:proofErr w:type="spellEnd"/>
      <w:r w:rsidRPr="00A559C1">
        <w:rPr>
          <w:rFonts w:ascii="Times New Roman" w:hAnsi="Times New Roman" w:cs="Times New Roman"/>
        </w:rPr>
        <w:t xml:space="preserve"> set by the Planck-scale interface thickness, ε remains real and bounded throughout collapse. Event horizons correspond to surfaces of minimal expansion rather than curvature singularities.</w:t>
      </w:r>
    </w:p>
    <w:p w14:paraId="0353E2CC" w14:textId="77777777" w:rsidR="00A559C1" w:rsidRPr="00A559C1" w:rsidRDefault="00A559C1" w:rsidP="0049597A">
      <w:pPr>
        <w:pStyle w:val="Heading2"/>
      </w:pPr>
      <w:r w:rsidRPr="00A559C1">
        <w:t>4.6 Matter Dynamics in the ε-Field</w:t>
      </w:r>
    </w:p>
    <w:p w14:paraId="4430667B"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Test-mass acceleration follows from the effective potential Φ:</w:t>
      </w:r>
    </w:p>
    <w:p w14:paraId="0FD84346" w14:textId="0753205B" w:rsidR="00A559C1" w:rsidRPr="00A559C1" w:rsidRDefault="00A559C1" w:rsidP="0049597A">
      <w:pPr>
        <w:spacing w:after="0"/>
        <w:ind w:firstLine="720"/>
        <w:jc w:val="both"/>
        <w:rPr>
          <w:rFonts w:ascii="Times New Roman" w:hAnsi="Times New Roman" w:cs="Times New Roman"/>
        </w:rPr>
      </w:pPr>
      <w:r w:rsidRPr="00A559C1">
        <w:rPr>
          <w:rFonts w:ascii="Times New Roman" w:hAnsi="Times New Roman" w:cs="Times New Roman"/>
        </w:rPr>
        <w:t>a = −</w:t>
      </w:r>
      <w:r w:rsidRPr="00A559C1">
        <w:rPr>
          <w:rFonts w:ascii="Cambria Math" w:hAnsi="Cambria Math" w:cs="Cambria Math"/>
        </w:rPr>
        <w:t>∇</w:t>
      </w:r>
      <w:r w:rsidRPr="00A559C1">
        <w:rPr>
          <w:rFonts w:ascii="Times New Roman" w:hAnsi="Times New Roman" w:cs="Times New Roman"/>
        </w:rPr>
        <w:t>Φ</w:t>
      </w:r>
    </w:p>
    <w:p w14:paraId="76997C97" w14:textId="77777777" w:rsidR="00A559C1" w:rsidRPr="00A559C1" w:rsidRDefault="00A559C1" w:rsidP="0049597A">
      <w:pPr>
        <w:spacing w:after="0"/>
        <w:jc w:val="both"/>
        <w:rPr>
          <w:rFonts w:ascii="Times New Roman" w:hAnsi="Times New Roman" w:cs="Times New Roman"/>
        </w:rPr>
      </w:pPr>
      <w:r w:rsidRPr="00A559C1">
        <w:rPr>
          <w:rFonts w:ascii="Times New Roman" w:hAnsi="Times New Roman" w:cs="Times New Roman"/>
        </w:rPr>
        <w:t>with:</w:t>
      </w:r>
    </w:p>
    <w:p w14:paraId="794D947A" w14:textId="1B0D00A7" w:rsidR="00A559C1" w:rsidRPr="00A559C1" w:rsidRDefault="00A559C1" w:rsidP="0049597A">
      <w:pPr>
        <w:ind w:firstLine="720"/>
        <w:jc w:val="both"/>
        <w:rPr>
          <w:rFonts w:ascii="Times New Roman" w:hAnsi="Times New Roman" w:cs="Times New Roman"/>
        </w:rPr>
      </w:pPr>
      <w:r w:rsidRPr="00A559C1">
        <w:rPr>
          <w:rFonts w:ascii="Times New Roman" w:hAnsi="Times New Roman" w:cs="Times New Roman"/>
        </w:rPr>
        <w:t>ε ≈ C₄ + Φ / C₄</w:t>
      </w:r>
    </w:p>
    <w:p w14:paraId="3046149E" w14:textId="77777777" w:rsidR="00A559C1" w:rsidRDefault="00A559C1" w:rsidP="00A559C1">
      <w:pPr>
        <w:jc w:val="both"/>
        <w:rPr>
          <w:rFonts w:ascii="Times New Roman" w:hAnsi="Times New Roman" w:cs="Times New Roman"/>
        </w:rPr>
      </w:pPr>
      <w:r w:rsidRPr="00A559C1">
        <w:rPr>
          <w:rFonts w:ascii="Times New Roman" w:hAnsi="Times New Roman" w:cs="Times New Roman"/>
        </w:rPr>
        <w:t>Thus matter responds to spatial gradients of the expansion field. In strong-field regimes, nonlinear ε-coupling may generate large-scale deviations relevant to galactic dynamics, without introducing additional matter components.</w:t>
      </w:r>
    </w:p>
    <w:p w14:paraId="3792D5A8" w14:textId="77777777" w:rsidR="0095765B" w:rsidRDefault="0095765B" w:rsidP="0047548A">
      <w:pPr>
        <w:spacing w:after="0"/>
        <w:jc w:val="both"/>
        <w:rPr>
          <w:rFonts w:ascii="Times New Roman" w:hAnsi="Times New Roman" w:cs="Times New Roman"/>
          <w:b/>
          <w:bCs/>
        </w:rPr>
      </w:pPr>
      <w:r w:rsidRPr="0095765B">
        <w:rPr>
          <w:rFonts w:ascii="Times New Roman" w:hAnsi="Times New Roman" w:cs="Times New Roman"/>
          <w:b/>
          <w:bCs/>
        </w:rPr>
        <w:t>Particle Action and Test-Mass Dynamics</w:t>
      </w:r>
    </w:p>
    <w:p w14:paraId="31555652" w14:textId="77777777" w:rsidR="00194302" w:rsidRDefault="00194302" w:rsidP="00194302">
      <w:pPr>
        <w:jc w:val="both"/>
        <w:rPr>
          <w:rFonts w:ascii="Times New Roman" w:hAnsi="Times New Roman" w:cs="Times New Roman"/>
        </w:rPr>
      </w:pPr>
      <w:r w:rsidRPr="00194302">
        <w:rPr>
          <w:rFonts w:ascii="Times New Roman" w:hAnsi="Times New Roman" w:cs="Times New Roman"/>
        </w:rPr>
        <w:t>Test-mass motion in the expansion field follows from a variational principle defined for particles coupled to the expansion field ε(x).</w:t>
      </w:r>
    </w:p>
    <w:p w14:paraId="2D141982" w14:textId="2D690799"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Using emergent time t = x₄/C₄, define the particle action</w:t>
      </w:r>
      <w:r>
        <w:rPr>
          <w:rFonts w:ascii="Times New Roman" w:hAnsi="Times New Roman" w:cs="Times New Roman"/>
        </w:rPr>
        <w:t>:</w:t>
      </w:r>
    </w:p>
    <w:p w14:paraId="772369FD" w14:textId="77777777" w:rsidR="0047548A" w:rsidRPr="00802FDE"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S = −m ∫ ε(x) √(1 − v²/C₄²) dt</w:t>
      </w:r>
    </w:p>
    <w:p w14:paraId="24A5FFFB" w14:textId="77777777" w:rsidR="0047548A" w:rsidRDefault="0047548A" w:rsidP="0047548A">
      <w:pPr>
        <w:spacing w:after="0"/>
        <w:jc w:val="both"/>
        <w:rPr>
          <w:rFonts w:ascii="Times New Roman" w:hAnsi="Times New Roman" w:cs="Times New Roman"/>
        </w:rPr>
      </w:pPr>
      <w:r w:rsidRPr="00802FDE">
        <w:rPr>
          <w:rFonts w:ascii="Times New Roman" w:hAnsi="Times New Roman" w:cs="Times New Roman"/>
        </w:rPr>
        <w:t>Where</w:t>
      </w:r>
      <w:r>
        <w:rPr>
          <w:rFonts w:ascii="Times New Roman" w:hAnsi="Times New Roman" w:cs="Times New Roman"/>
        </w:rPr>
        <w:t>:</w:t>
      </w:r>
    </w:p>
    <w:p w14:paraId="0F59F769" w14:textId="77777777" w:rsidR="0047548A" w:rsidRPr="00802FDE" w:rsidRDefault="0047548A" w:rsidP="0047548A">
      <w:pPr>
        <w:ind w:firstLine="720"/>
        <w:jc w:val="both"/>
        <w:rPr>
          <w:rFonts w:ascii="Times New Roman" w:hAnsi="Times New Roman" w:cs="Times New Roman"/>
        </w:rPr>
      </w:pPr>
      <w:r w:rsidRPr="00802FDE">
        <w:rPr>
          <w:rFonts w:ascii="Times New Roman" w:hAnsi="Times New Roman" w:cs="Times New Roman"/>
        </w:rPr>
        <w:t>v² = dxᵢ/dt · dxᵢ/dt</w:t>
      </w:r>
    </w:p>
    <w:p w14:paraId="0975259B"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 xml:space="preserve">The corresponding </w:t>
      </w:r>
      <w:proofErr w:type="spellStart"/>
      <w:r w:rsidRPr="00802FDE">
        <w:rPr>
          <w:rFonts w:ascii="Times New Roman" w:hAnsi="Times New Roman" w:cs="Times New Roman"/>
        </w:rPr>
        <w:t>Lagrangian</w:t>
      </w:r>
      <w:proofErr w:type="spellEnd"/>
      <w:r w:rsidRPr="00802FDE">
        <w:rPr>
          <w:rFonts w:ascii="Times New Roman" w:hAnsi="Times New Roman" w:cs="Times New Roman"/>
        </w:rPr>
        <w:t xml:space="preserve"> is</w:t>
      </w:r>
      <w:r>
        <w:rPr>
          <w:rFonts w:ascii="Times New Roman" w:hAnsi="Times New Roman" w:cs="Times New Roman"/>
        </w:rPr>
        <w:t>:</w:t>
      </w:r>
    </w:p>
    <w:p w14:paraId="6E305019" w14:textId="77777777" w:rsidR="0047548A" w:rsidRPr="00802FDE"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L = −m ε(x) √(1 − v²/C₄²)</w:t>
      </w:r>
    </w:p>
    <w:p w14:paraId="4E7DB00A"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Applying the Euler–Lagrange equation</w:t>
      </w:r>
      <w:r>
        <w:rPr>
          <w:rFonts w:ascii="Times New Roman" w:hAnsi="Times New Roman" w:cs="Times New Roman"/>
        </w:rPr>
        <w:t>:</w:t>
      </w:r>
    </w:p>
    <w:p w14:paraId="46D74B45" w14:textId="77777777" w:rsidR="0047548A" w:rsidRPr="00802FDE"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d/dt(∂L/∂vᵢ) − ∂L/∂xᵢ = 0</w:t>
      </w:r>
    </w:p>
    <w:p w14:paraId="4C6F7586"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gives the equation of motion</w:t>
      </w:r>
      <w:r>
        <w:rPr>
          <w:rFonts w:ascii="Times New Roman" w:hAnsi="Times New Roman" w:cs="Times New Roman"/>
        </w:rPr>
        <w:t>:</w:t>
      </w:r>
    </w:p>
    <w:p w14:paraId="6AFC7F40" w14:textId="77777777" w:rsidR="0047548A" w:rsidRPr="00802FDE"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d/dt (γ ε vᵢ) = ∂ᵢε</w:t>
      </w:r>
    </w:p>
    <w:p w14:paraId="73AAB7D4"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where</w:t>
      </w:r>
      <w:r>
        <w:rPr>
          <w:rFonts w:ascii="Times New Roman" w:hAnsi="Times New Roman" w:cs="Times New Roman"/>
        </w:rPr>
        <w:t>:</w:t>
      </w:r>
    </w:p>
    <w:p w14:paraId="775B2A56" w14:textId="77777777" w:rsidR="0047548A" w:rsidRPr="00802FDE" w:rsidRDefault="0047548A" w:rsidP="0047548A">
      <w:pPr>
        <w:ind w:firstLine="720"/>
        <w:jc w:val="both"/>
        <w:rPr>
          <w:rFonts w:ascii="Times New Roman" w:hAnsi="Times New Roman" w:cs="Times New Roman"/>
        </w:rPr>
      </w:pPr>
      <w:r w:rsidRPr="00802FDE">
        <w:rPr>
          <w:rFonts w:ascii="Times New Roman" w:hAnsi="Times New Roman" w:cs="Times New Roman"/>
        </w:rPr>
        <w:t>γ = 1 / √(1 − v²/C₄²)</w:t>
      </w:r>
    </w:p>
    <w:p w14:paraId="7F741BDA"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In the weak-field, low-velocity limit</w:t>
      </w:r>
      <w:r>
        <w:rPr>
          <w:rFonts w:ascii="Times New Roman" w:hAnsi="Times New Roman" w:cs="Times New Roman"/>
        </w:rPr>
        <w:t>:</w:t>
      </w:r>
    </w:p>
    <w:p w14:paraId="245D68B7" w14:textId="77777777" w:rsidR="0047548A"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 xml:space="preserve">v </w:t>
      </w:r>
      <w:r w:rsidRPr="00802FDE">
        <w:rPr>
          <w:rFonts w:ascii="Cambria Math" w:hAnsi="Cambria Math" w:cs="Cambria Math"/>
        </w:rPr>
        <w:t>≪</w:t>
      </w:r>
      <w:r w:rsidRPr="00802FDE">
        <w:rPr>
          <w:rFonts w:ascii="Times New Roman" w:hAnsi="Times New Roman" w:cs="Times New Roman"/>
        </w:rPr>
        <w:t xml:space="preserve"> C₄</w:t>
      </w:r>
    </w:p>
    <w:p w14:paraId="2E870B53" w14:textId="77777777" w:rsidR="0047548A" w:rsidRPr="00802FDE" w:rsidRDefault="0047548A" w:rsidP="0047548A">
      <w:pPr>
        <w:spacing w:after="0"/>
        <w:ind w:firstLine="720"/>
        <w:jc w:val="both"/>
        <w:rPr>
          <w:rFonts w:ascii="Times New Roman" w:hAnsi="Times New Roman" w:cs="Times New Roman"/>
        </w:rPr>
      </w:pPr>
      <w:r w:rsidRPr="00802FDE">
        <w:rPr>
          <w:rFonts w:ascii="Times New Roman" w:hAnsi="Times New Roman" w:cs="Times New Roman"/>
        </w:rPr>
        <w:t>ε ≈ C₄ + Φ/C₄</w:t>
      </w:r>
    </w:p>
    <w:p w14:paraId="0DCA36A3" w14:textId="77777777" w:rsidR="0047548A" w:rsidRPr="00802FDE" w:rsidRDefault="0047548A" w:rsidP="0047548A">
      <w:pPr>
        <w:spacing w:after="0"/>
        <w:jc w:val="both"/>
        <w:rPr>
          <w:rFonts w:ascii="Times New Roman" w:hAnsi="Times New Roman" w:cs="Times New Roman"/>
        </w:rPr>
      </w:pPr>
      <w:r w:rsidRPr="00802FDE">
        <w:rPr>
          <w:rFonts w:ascii="Times New Roman" w:hAnsi="Times New Roman" w:cs="Times New Roman"/>
        </w:rPr>
        <w:t>this reduces to</w:t>
      </w:r>
      <w:r>
        <w:rPr>
          <w:rFonts w:ascii="Times New Roman" w:hAnsi="Times New Roman" w:cs="Times New Roman"/>
        </w:rPr>
        <w:t>:</w:t>
      </w:r>
    </w:p>
    <w:p w14:paraId="219EC9A2" w14:textId="77777777" w:rsidR="0047548A" w:rsidRPr="00802FDE" w:rsidRDefault="0047548A" w:rsidP="0047548A">
      <w:pPr>
        <w:ind w:firstLine="720"/>
        <w:jc w:val="both"/>
        <w:rPr>
          <w:rFonts w:ascii="Times New Roman" w:hAnsi="Times New Roman" w:cs="Times New Roman"/>
        </w:rPr>
      </w:pPr>
      <w:r w:rsidRPr="00802FDE">
        <w:rPr>
          <w:rFonts w:ascii="Times New Roman" w:hAnsi="Times New Roman" w:cs="Times New Roman"/>
        </w:rPr>
        <w:t>d²xᵢ/dt² = −∂ᵢΦ</w:t>
      </w:r>
    </w:p>
    <w:p w14:paraId="5CD83D3C" w14:textId="62B6F057" w:rsidR="0047548A" w:rsidRPr="00A559C1" w:rsidRDefault="0047548A" w:rsidP="00A559C1">
      <w:pPr>
        <w:jc w:val="both"/>
        <w:rPr>
          <w:rFonts w:ascii="Times New Roman" w:hAnsi="Times New Roman" w:cs="Times New Roman"/>
        </w:rPr>
      </w:pPr>
      <w:r w:rsidRPr="00802FDE">
        <w:rPr>
          <w:rFonts w:ascii="Times New Roman" w:hAnsi="Times New Roman" w:cs="Times New Roman"/>
        </w:rPr>
        <w:t>Thus the Newtonian gravitational acceleration arises directly from the variational dynamics of a particle coupled to the expansion field ε(x).</w:t>
      </w:r>
    </w:p>
    <w:p w14:paraId="3FB8A34B" w14:textId="242F84BB" w:rsidR="00F3740E" w:rsidRDefault="00E54854" w:rsidP="003A5C99">
      <w:pPr>
        <w:pStyle w:val="Heading1"/>
        <w:spacing w:line="276" w:lineRule="auto"/>
      </w:pPr>
      <w:r>
        <w:t>5</w:t>
      </w:r>
      <w:r w:rsidR="00F3740E" w:rsidRPr="00F3740E">
        <w:t>. Results I: Classical Equivalence</w:t>
      </w:r>
    </w:p>
    <w:p w14:paraId="7E95DC4F" w14:textId="23D7F0A3" w:rsidR="00F62CA9" w:rsidRPr="00F62CA9" w:rsidRDefault="00E54854" w:rsidP="003A5C99">
      <w:pPr>
        <w:pStyle w:val="Heading2"/>
        <w:spacing w:line="276" w:lineRule="auto"/>
        <w:jc w:val="both"/>
      </w:pPr>
      <w:r>
        <w:t>5</w:t>
      </w:r>
      <w:r w:rsidR="00F62CA9" w:rsidRPr="00F62CA9">
        <w:t>.</w:t>
      </w:r>
      <w:r w:rsidR="00357650">
        <w:t>1</w:t>
      </w:r>
      <w:r w:rsidR="00F62CA9" w:rsidRPr="00F62CA9">
        <w:t xml:space="preserve"> Schwarzschild-Equivalent Solution</w:t>
      </w:r>
    </w:p>
    <w:p w14:paraId="5631BC75" w14:textId="1FB0051E"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For a static, spherically symmetric vacuum (ρ = 0), the FE simplifies to</w:t>
      </w:r>
      <w:r w:rsidR="003D3B66">
        <w:rPr>
          <w:rFonts w:ascii="Times New Roman" w:hAnsi="Times New Roman" w:cs="Times New Roman"/>
        </w:rPr>
        <w:t>:</w:t>
      </w:r>
    </w:p>
    <w:p w14:paraId="4D17B4C9" w14:textId="4BCE77FA" w:rsidR="00F62CA9" w:rsidRPr="00F62CA9" w:rsidRDefault="00F62CA9" w:rsidP="00125CD6">
      <w:pPr>
        <w:spacing w:line="276" w:lineRule="auto"/>
        <w:ind w:firstLine="720"/>
        <w:jc w:val="both"/>
        <w:rPr>
          <w:rFonts w:ascii="Times New Roman" w:hAnsi="Times New Roman" w:cs="Times New Roman"/>
        </w:rPr>
      </w:pPr>
      <w:r w:rsidRPr="00F62CA9">
        <w:rPr>
          <w:rFonts w:ascii="Cambria Math" w:hAnsi="Cambria Math" w:cs="Cambria Math"/>
        </w:rPr>
        <w:t>∇</w:t>
      </w:r>
      <w:r w:rsidRPr="00F62CA9">
        <w:rPr>
          <w:rFonts w:ascii="Times New Roman" w:hAnsi="Times New Roman" w:cs="Times New Roman"/>
        </w:rPr>
        <w:t>₄² ε = 0</w:t>
      </w:r>
    </w:p>
    <w:p w14:paraId="217F6C85" w14:textId="77777777"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The general radial solution is harmonic:</w:t>
      </w:r>
    </w:p>
    <w:p w14:paraId="3072FA91" w14:textId="32ECE56B" w:rsidR="00F62CA9" w:rsidRPr="00F62CA9" w:rsidRDefault="00F62CA9" w:rsidP="00125CD6">
      <w:pPr>
        <w:spacing w:line="276" w:lineRule="auto"/>
        <w:ind w:firstLine="720"/>
        <w:jc w:val="both"/>
        <w:rPr>
          <w:rFonts w:ascii="Times New Roman" w:hAnsi="Times New Roman" w:cs="Times New Roman"/>
        </w:rPr>
      </w:pPr>
      <w:r w:rsidRPr="00F62CA9">
        <w:rPr>
          <w:rFonts w:ascii="Times New Roman" w:hAnsi="Times New Roman" w:cs="Times New Roman"/>
        </w:rPr>
        <w:t>ε(r) = C₄ − GM / (C₄ r)</w:t>
      </w:r>
    </w:p>
    <w:p w14:paraId="460354C2" w14:textId="187735C7"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Defining the ratio of proper to coordinate time by</w:t>
      </w:r>
      <w:r w:rsidR="003D3B66">
        <w:rPr>
          <w:rFonts w:ascii="Times New Roman" w:hAnsi="Times New Roman" w:cs="Times New Roman"/>
        </w:rPr>
        <w:t>:</w:t>
      </w:r>
    </w:p>
    <w:p w14:paraId="08D76647" w14:textId="778E3DF4" w:rsidR="00F62CA9" w:rsidRPr="00F62CA9" w:rsidRDefault="00F62CA9" w:rsidP="00125CD6">
      <w:pPr>
        <w:spacing w:after="0" w:line="276" w:lineRule="auto"/>
        <w:ind w:firstLine="720"/>
        <w:jc w:val="both"/>
        <w:rPr>
          <w:rFonts w:ascii="Times New Roman" w:hAnsi="Times New Roman" w:cs="Times New Roman"/>
        </w:rPr>
      </w:pPr>
      <w:proofErr w:type="spellStart"/>
      <w:r w:rsidRPr="00F62CA9">
        <w:rPr>
          <w:rFonts w:ascii="Times New Roman" w:hAnsi="Times New Roman" w:cs="Times New Roman"/>
        </w:rPr>
        <w:t>dτ</w:t>
      </w:r>
      <w:proofErr w:type="spellEnd"/>
      <w:r w:rsidRPr="00F62CA9">
        <w:rPr>
          <w:rFonts w:ascii="Times New Roman" w:hAnsi="Times New Roman" w:cs="Times New Roman"/>
        </w:rPr>
        <w:t xml:space="preserve"> / dt = ε(r) / C₄</w:t>
      </w:r>
    </w:p>
    <w:p w14:paraId="4A7B766D" w14:textId="0E19FCBB"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we find, for small potentials</w:t>
      </w:r>
      <w:r w:rsidR="0008133D">
        <w:rPr>
          <w:rFonts w:ascii="Times New Roman" w:hAnsi="Times New Roman" w:cs="Times New Roman"/>
        </w:rPr>
        <w:t>:</w:t>
      </w:r>
    </w:p>
    <w:p w14:paraId="7D7B1C1F" w14:textId="3B904D4A" w:rsidR="00F62CA9" w:rsidRPr="00157F95" w:rsidRDefault="00F62CA9" w:rsidP="00125CD6">
      <w:pPr>
        <w:spacing w:line="276" w:lineRule="auto"/>
        <w:ind w:firstLine="720"/>
        <w:jc w:val="both"/>
        <w:rPr>
          <w:rFonts w:ascii="Times New Roman" w:hAnsi="Times New Roman" w:cs="Times New Roman"/>
        </w:rPr>
      </w:pPr>
      <w:r w:rsidRPr="00F62CA9">
        <w:rPr>
          <w:rFonts w:ascii="Times New Roman" w:hAnsi="Times New Roman" w:cs="Times New Roman"/>
        </w:rPr>
        <w:t>ε</w:t>
      </w:r>
      <w:r w:rsidRPr="00157F95">
        <w:rPr>
          <w:rFonts w:ascii="Times New Roman" w:hAnsi="Times New Roman" w:cs="Times New Roman"/>
        </w:rPr>
        <w:t>(r) / C₄ = 1 − GM / (C₄² r) ≈ √(1 − 2GM / (C₄² r))</w:t>
      </w:r>
      <w:r w:rsidR="00157F95" w:rsidRPr="00157F95">
        <w:rPr>
          <w:rFonts w:ascii="Times New Roman" w:hAnsi="Times New Roman" w:cs="Times New Roman"/>
        </w:rPr>
        <w:t>, to first order</w:t>
      </w:r>
    </w:p>
    <w:p w14:paraId="58D6DC88" w14:textId="761FC92A" w:rsidR="00F62CA9" w:rsidRDefault="00F62CA9" w:rsidP="003A5C99">
      <w:pPr>
        <w:spacing w:line="276" w:lineRule="auto"/>
        <w:jc w:val="both"/>
        <w:rPr>
          <w:rFonts w:ascii="Times New Roman" w:hAnsi="Times New Roman" w:cs="Times New Roman"/>
        </w:rPr>
      </w:pPr>
      <w:r w:rsidRPr="00F62CA9">
        <w:rPr>
          <w:rFonts w:ascii="Times New Roman" w:hAnsi="Times New Roman" w:cs="Times New Roman"/>
        </w:rPr>
        <w:t>This reproduces the Schwarzschild gravitational redshift factor and time dilation without requiring spacetime curvature.</w:t>
      </w:r>
      <w:r w:rsidR="00031B95">
        <w:rPr>
          <w:rFonts w:ascii="Times New Roman" w:hAnsi="Times New Roman" w:cs="Times New Roman"/>
        </w:rPr>
        <w:t xml:space="preserve"> </w:t>
      </w:r>
      <w:r w:rsidRPr="00F62CA9">
        <w:rPr>
          <w:rFonts w:ascii="Times New Roman" w:hAnsi="Times New Roman" w:cs="Times New Roman"/>
        </w:rPr>
        <w:t xml:space="preserve">The gravitational field therefore corresponds to a spatial gradient in the </w:t>
      </w:r>
      <w:r w:rsidR="006A42CF">
        <w:rPr>
          <w:rFonts w:ascii="Times New Roman" w:hAnsi="Times New Roman" w:cs="Times New Roman"/>
        </w:rPr>
        <w:t>4-dimensional</w:t>
      </w:r>
      <w:r w:rsidRPr="00F62CA9">
        <w:rPr>
          <w:rFonts w:ascii="Times New Roman" w:hAnsi="Times New Roman" w:cs="Times New Roman"/>
        </w:rPr>
        <w:t xml:space="preserve"> </w:t>
      </w:r>
      <w:r w:rsidR="005D0587" w:rsidRPr="005D0587">
        <w:rPr>
          <w:rFonts w:ascii="Times New Roman" w:hAnsi="Times New Roman" w:cs="Times New Roman"/>
        </w:rPr>
        <w:t xml:space="preserve">expansion magnitude field ε(x) </w:t>
      </w:r>
      <w:r w:rsidR="00D638B8">
        <w:rPr>
          <w:rFonts w:ascii="Times New Roman" w:hAnsi="Times New Roman" w:cs="Times New Roman"/>
        </w:rPr>
        <w:t>[2, 6]</w:t>
      </w:r>
      <w:r w:rsidRPr="00F62CA9">
        <w:rPr>
          <w:rFonts w:ascii="Times New Roman" w:hAnsi="Times New Roman" w:cs="Times New Roman"/>
        </w:rPr>
        <w:t>.</w:t>
      </w:r>
    </w:p>
    <w:p w14:paraId="2ACEC45A" w14:textId="18BCD52F" w:rsidR="006957CE" w:rsidRPr="006957CE" w:rsidRDefault="006957CE" w:rsidP="00C94167">
      <w:pPr>
        <w:spacing w:after="0"/>
        <w:rPr>
          <w:rFonts w:ascii="Times New Roman" w:hAnsi="Times New Roman" w:cs="Times New Roman"/>
          <w:b/>
          <w:bCs/>
        </w:rPr>
      </w:pPr>
      <w:r w:rsidRPr="006957CE">
        <w:rPr>
          <w:rFonts w:ascii="Times New Roman" w:hAnsi="Times New Roman" w:cs="Times New Roman"/>
          <w:b/>
          <w:bCs/>
        </w:rPr>
        <w:t>Scope of Schwarzschild correspondence</w:t>
      </w:r>
    </w:p>
    <w:p w14:paraId="425FCF1C" w14:textId="0056E8B4" w:rsidR="006957CE" w:rsidRPr="00706CE0" w:rsidRDefault="006957CE" w:rsidP="003A5C99">
      <w:pPr>
        <w:spacing w:after="0" w:line="276" w:lineRule="auto"/>
        <w:rPr>
          <w:rFonts w:ascii="Times New Roman" w:hAnsi="Times New Roman" w:cs="Times New Roman"/>
        </w:rPr>
      </w:pPr>
      <w:r w:rsidRPr="00706CE0">
        <w:rPr>
          <w:rFonts w:ascii="Times New Roman" w:hAnsi="Times New Roman" w:cs="Times New Roman"/>
        </w:rPr>
        <w:t>The radial solution:</w:t>
      </w:r>
    </w:p>
    <w:p w14:paraId="271F8C52" w14:textId="77777777" w:rsidR="006957CE" w:rsidRPr="00706CE0" w:rsidRDefault="006957CE" w:rsidP="003A5C99">
      <w:pPr>
        <w:spacing w:after="0" w:line="276" w:lineRule="auto"/>
        <w:ind w:firstLine="720"/>
        <w:rPr>
          <w:rFonts w:ascii="Times New Roman" w:hAnsi="Times New Roman" w:cs="Times New Roman"/>
        </w:rPr>
      </w:pPr>
      <w:r w:rsidRPr="006957CE">
        <w:rPr>
          <w:rFonts w:ascii="Times New Roman" w:hAnsi="Times New Roman" w:cs="Times New Roman"/>
        </w:rPr>
        <w:t>ε</w:t>
      </w:r>
      <w:r w:rsidRPr="00706CE0">
        <w:rPr>
          <w:rFonts w:ascii="Times New Roman" w:hAnsi="Times New Roman" w:cs="Times New Roman"/>
        </w:rPr>
        <w:t>(r) = C₄ − GM / (C₄ r)</w:t>
      </w:r>
    </w:p>
    <w:p w14:paraId="0C377247" w14:textId="77777777" w:rsidR="00FD00C3" w:rsidRDefault="006957CE" w:rsidP="003A5C99">
      <w:pPr>
        <w:spacing w:line="276" w:lineRule="auto"/>
        <w:jc w:val="both"/>
        <w:rPr>
          <w:rFonts w:ascii="Times New Roman" w:hAnsi="Times New Roman" w:cs="Times New Roman"/>
        </w:rPr>
      </w:pPr>
      <w:r w:rsidRPr="006957CE">
        <w:rPr>
          <w:rFonts w:ascii="Times New Roman" w:hAnsi="Times New Roman" w:cs="Times New Roman"/>
        </w:rPr>
        <w:t xml:space="preserve">reproduces the weak-field gravitational redshift and time-dilation behaviour of the Schwarzschild solution to first order in GM / (C₄² r). </w:t>
      </w:r>
    </w:p>
    <w:p w14:paraId="594F7CBF" w14:textId="045000B2" w:rsidR="006957CE" w:rsidRPr="006957CE" w:rsidRDefault="006957CE" w:rsidP="003A5C99">
      <w:pPr>
        <w:spacing w:line="276" w:lineRule="auto"/>
        <w:jc w:val="both"/>
        <w:rPr>
          <w:rFonts w:ascii="Times New Roman" w:hAnsi="Times New Roman" w:cs="Times New Roman"/>
        </w:rPr>
      </w:pPr>
      <w:r w:rsidRPr="006957CE">
        <w:rPr>
          <w:rFonts w:ascii="Times New Roman" w:hAnsi="Times New Roman" w:cs="Times New Roman"/>
        </w:rPr>
        <w:t>Expanding the Schwarzschild redshift factor √(1 − 2GM / (C₄² r)) for small GM / (C₄² r) yields agreement at leading order, but this does not constitute full metric equivalence. In particular, higher-order corrections, null geodesic structure, and relativistic orbital effects are not derived here.</w:t>
      </w:r>
    </w:p>
    <w:p w14:paraId="607EB03D" w14:textId="61D3D3DB" w:rsidR="00C83188" w:rsidRPr="00C83188" w:rsidRDefault="00B07CD5" w:rsidP="003A5C99">
      <w:pPr>
        <w:spacing w:line="276" w:lineRule="auto"/>
        <w:jc w:val="both"/>
        <w:rPr>
          <w:rFonts w:ascii="Times New Roman" w:hAnsi="Times New Roman" w:cs="Times New Roman"/>
          <w:b/>
        </w:rPr>
      </w:pPr>
      <w:r>
        <w:rPr>
          <w:rFonts w:ascii="Times New Roman" w:hAnsi="Times New Roman" w:cs="Times New Roman"/>
        </w:rPr>
        <w:t>PLG</w:t>
      </w:r>
      <w:r w:rsidR="00C83188" w:rsidRPr="00C83188">
        <w:rPr>
          <w:rFonts w:ascii="Times New Roman" w:hAnsi="Times New Roman" w:cs="Times New Roman"/>
        </w:rPr>
        <w:t xml:space="preserve"> does not treat gravitation as spacetime curvature or assume equivalence with the Schwarzschild metric. Gravitational effects arise from gradients of the expansion field </w:t>
      </w:r>
      <w:r w:rsidR="00C83188" w:rsidRPr="00C83188">
        <w:rPr>
          <w:rFonts w:ascii="Times New Roman" w:hAnsi="Times New Roman" w:cs="Times New Roman"/>
          <w:bCs/>
        </w:rPr>
        <w:t>ε</w:t>
      </w:r>
      <w:r w:rsidR="00C83188" w:rsidRPr="00C83188">
        <w:rPr>
          <w:rFonts w:ascii="Times New Roman" w:hAnsi="Times New Roman" w:cs="Times New Roman"/>
        </w:rPr>
        <w:t xml:space="preserve"> and their influence on projection geometry and clock rates, rather than from geodesic motion in a curved metric. Although the framework provides a clear mechanism for apparent curvature</w:t>
      </w:r>
      <w:r w:rsidR="00950E4D">
        <w:rPr>
          <w:rFonts w:ascii="Times New Roman" w:hAnsi="Times New Roman" w:cs="Times New Roman"/>
        </w:rPr>
        <w:t>,</w:t>
      </w:r>
      <w:r w:rsidR="00FF2A9A">
        <w:rPr>
          <w:rFonts w:ascii="Times New Roman" w:hAnsi="Times New Roman" w:cs="Times New Roman"/>
        </w:rPr>
        <w:t xml:space="preserve"> </w:t>
      </w:r>
      <w:r w:rsidR="00FF2A9A" w:rsidRPr="00FF2A9A">
        <w:rPr>
          <w:rFonts w:ascii="Times New Roman" w:hAnsi="Times New Roman" w:cs="Times New Roman"/>
        </w:rPr>
        <w:t>it does not claim full metric equivalence</w:t>
      </w:r>
      <w:r w:rsidR="00C83188" w:rsidRPr="00C83188">
        <w:rPr>
          <w:rFonts w:ascii="Times New Roman" w:hAnsi="Times New Roman" w:cs="Times New Roman"/>
        </w:rPr>
        <w:t>. The present analysis establishes consistency with Newtonian and weak-field limits while leaving photon propagation and strong-field behaviour as independent, testable predictions.</w:t>
      </w:r>
    </w:p>
    <w:p w14:paraId="45D72659" w14:textId="1D4A2F04" w:rsidR="00F62CA9" w:rsidRPr="00F62CA9" w:rsidRDefault="00E54854" w:rsidP="003A5C99">
      <w:pPr>
        <w:pStyle w:val="Heading2"/>
        <w:spacing w:line="276" w:lineRule="auto"/>
        <w:jc w:val="both"/>
      </w:pPr>
      <w:r>
        <w:t>5</w:t>
      </w:r>
      <w:r w:rsidR="00F62CA9" w:rsidRPr="00F62CA9">
        <w:t>.</w:t>
      </w:r>
      <w:r w:rsidR="00357650">
        <w:t>2</w:t>
      </w:r>
      <w:r w:rsidR="00AF3049">
        <w:t xml:space="preserve"> </w:t>
      </w:r>
      <w:r w:rsidR="00F62CA9" w:rsidRPr="00F62CA9">
        <w:t>Interior Regularity and Maximum Density</w:t>
      </w:r>
    </w:p>
    <w:p w14:paraId="37DA5FA7" w14:textId="77777777" w:rsidR="00315EC5" w:rsidRDefault="00A901DA" w:rsidP="003A5C99">
      <w:pPr>
        <w:spacing w:line="276" w:lineRule="auto"/>
        <w:jc w:val="both"/>
        <w:rPr>
          <w:rFonts w:ascii="Times New Roman" w:hAnsi="Times New Roman" w:cs="Times New Roman"/>
        </w:rPr>
      </w:pPr>
      <w:r w:rsidRPr="00A901DA">
        <w:rPr>
          <w:rFonts w:ascii="Times New Roman" w:hAnsi="Times New Roman" w:cs="Times New Roman"/>
        </w:rPr>
        <w:t xml:space="preserve">Assuming a maximum energy density ρₘₐₓ set by a finite Planck-thickness interface at the 3D–4D boundary, the interior solutions for ε(r) remain finite, with ε → 0 at the horizon and remaining real and bounded within. </w:t>
      </w:r>
    </w:p>
    <w:p w14:paraId="7A3F023E" w14:textId="6E73F3EB" w:rsidR="00BE230C" w:rsidRDefault="00A901DA" w:rsidP="003A5C99">
      <w:pPr>
        <w:spacing w:line="276" w:lineRule="auto"/>
        <w:jc w:val="both"/>
      </w:pPr>
      <w:r w:rsidRPr="00A901DA">
        <w:rPr>
          <w:rFonts w:ascii="Times New Roman" w:hAnsi="Times New Roman" w:cs="Times New Roman"/>
        </w:rPr>
        <w:t xml:space="preserve">A complete interior solution follows from the </w:t>
      </w:r>
      <w:r w:rsidR="00B07CD5">
        <w:rPr>
          <w:rFonts w:ascii="Times New Roman" w:hAnsi="Times New Roman" w:cs="Times New Roman"/>
        </w:rPr>
        <w:t>PLG</w:t>
      </w:r>
      <w:r w:rsidRPr="00A901DA">
        <w:rPr>
          <w:rFonts w:ascii="Times New Roman" w:hAnsi="Times New Roman" w:cs="Times New Roman"/>
        </w:rPr>
        <w:t xml:space="preserve"> Field Equation as ρ(r) → ρₘₐₓ near the core. </w:t>
      </w:r>
      <w:r w:rsidR="0042060D">
        <w:rPr>
          <w:rFonts w:ascii="Times New Roman" w:hAnsi="Times New Roman" w:cs="Times New Roman"/>
        </w:rPr>
        <w:t>As</w:t>
      </w:r>
      <w:r w:rsidRPr="00A901DA">
        <w:rPr>
          <w:rFonts w:ascii="Times New Roman" w:hAnsi="Times New Roman" w:cs="Times New Roman"/>
        </w:rPr>
        <w:t xml:space="preserve"> the 3D–4D interface possesses a finite thickness determined by the Planck length, regions approaching ρₘₐₓ experience an emergent-time slowdown that ensures ε remains real and finite even at the deepest point of collapse.</w:t>
      </w:r>
    </w:p>
    <w:p w14:paraId="4D646B87" w14:textId="7EB1C915" w:rsidR="00F62CA9" w:rsidRPr="00BE230C" w:rsidRDefault="00E54854" w:rsidP="003A5C99">
      <w:pPr>
        <w:pStyle w:val="Heading2"/>
        <w:spacing w:line="276" w:lineRule="auto"/>
        <w:rPr>
          <w:rFonts w:cs="Times New Roman"/>
        </w:rPr>
      </w:pPr>
      <w:r>
        <w:t>5</w:t>
      </w:r>
      <w:r w:rsidR="00F62CA9" w:rsidRPr="00F62CA9">
        <w:t>.</w:t>
      </w:r>
      <w:r w:rsidR="00357650">
        <w:t xml:space="preserve">3 </w:t>
      </w:r>
      <w:r w:rsidR="00F62CA9" w:rsidRPr="00F62CA9">
        <w:t>Dynamics of Matter in the ε-Field</w:t>
      </w:r>
    </w:p>
    <w:p w14:paraId="3F8F1C02" w14:textId="44B1CFBF" w:rsidR="007C0FFA" w:rsidRDefault="00F62CA9" w:rsidP="003A5C99">
      <w:pPr>
        <w:spacing w:line="276" w:lineRule="auto"/>
        <w:jc w:val="both"/>
        <w:rPr>
          <w:rFonts w:ascii="Times New Roman" w:hAnsi="Times New Roman" w:cs="Times New Roman"/>
        </w:rPr>
      </w:pPr>
      <w:r w:rsidRPr="00F62CA9">
        <w:rPr>
          <w:rFonts w:ascii="Times New Roman" w:hAnsi="Times New Roman" w:cs="Times New Roman"/>
        </w:rPr>
        <w:t xml:space="preserve">Matter motion follows the local gradient of ε, which defines the spatial deflection of </w:t>
      </w:r>
      <w:r w:rsidR="006A42CF">
        <w:rPr>
          <w:rFonts w:ascii="Times New Roman" w:hAnsi="Times New Roman" w:cs="Times New Roman"/>
        </w:rPr>
        <w:t>4-dimensional</w:t>
      </w:r>
      <w:r w:rsidRPr="00F62CA9">
        <w:rPr>
          <w:rFonts w:ascii="Times New Roman" w:hAnsi="Times New Roman" w:cs="Times New Roman"/>
        </w:rPr>
        <w:t xml:space="preserve"> geometry.</w:t>
      </w:r>
    </w:p>
    <w:p w14:paraId="207DEB6B" w14:textId="6D687A0F"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The acceleration of a test mass is given by</w:t>
      </w:r>
      <w:r w:rsidR="0008133D">
        <w:rPr>
          <w:rFonts w:ascii="Times New Roman" w:hAnsi="Times New Roman" w:cs="Times New Roman"/>
        </w:rPr>
        <w:t>:</w:t>
      </w:r>
    </w:p>
    <w:p w14:paraId="19BD2564" w14:textId="3F38E00C" w:rsidR="00F62CA9" w:rsidRPr="00F62CA9" w:rsidRDefault="00F62CA9" w:rsidP="00125CD6">
      <w:pPr>
        <w:spacing w:after="0" w:line="276" w:lineRule="auto"/>
        <w:ind w:firstLine="720"/>
        <w:jc w:val="both"/>
        <w:rPr>
          <w:rFonts w:ascii="Times New Roman" w:hAnsi="Times New Roman" w:cs="Times New Roman"/>
        </w:rPr>
      </w:pPr>
      <w:r w:rsidRPr="00F62CA9">
        <w:rPr>
          <w:rFonts w:ascii="Times New Roman" w:hAnsi="Times New Roman" w:cs="Times New Roman"/>
        </w:rPr>
        <w:t>a = −</w:t>
      </w:r>
      <w:r w:rsidRPr="00D65802">
        <w:rPr>
          <w:rFonts w:ascii="Cambria Math" w:hAnsi="Cambria Math" w:cs="Cambria Math"/>
        </w:rPr>
        <w:t>∇</w:t>
      </w:r>
      <w:r w:rsidRPr="00F62CA9">
        <w:rPr>
          <w:rFonts w:ascii="Times New Roman" w:hAnsi="Times New Roman" w:cs="Times New Roman"/>
        </w:rPr>
        <w:t>Φ</w:t>
      </w:r>
    </w:p>
    <w:p w14:paraId="085025AE" w14:textId="41A7EAE7" w:rsidR="00F62CA9" w:rsidRPr="00F62CA9" w:rsidRDefault="00F62CA9" w:rsidP="003A5C99">
      <w:pPr>
        <w:spacing w:after="0" w:line="276" w:lineRule="auto"/>
        <w:jc w:val="both"/>
        <w:rPr>
          <w:rFonts w:ascii="Times New Roman" w:hAnsi="Times New Roman" w:cs="Times New Roman"/>
        </w:rPr>
      </w:pPr>
      <w:r w:rsidRPr="00F62CA9">
        <w:rPr>
          <w:rFonts w:ascii="Times New Roman" w:hAnsi="Times New Roman" w:cs="Times New Roman"/>
        </w:rPr>
        <w:t>where Φ is recovered from the expansion field approximation</w:t>
      </w:r>
      <w:r w:rsidR="0008133D">
        <w:rPr>
          <w:rFonts w:ascii="Times New Roman" w:hAnsi="Times New Roman" w:cs="Times New Roman"/>
        </w:rPr>
        <w:t>:</w:t>
      </w:r>
    </w:p>
    <w:p w14:paraId="05C2281B" w14:textId="59B72ADE" w:rsidR="00F62CA9" w:rsidRPr="00F62CA9" w:rsidRDefault="00F62CA9" w:rsidP="00125CD6">
      <w:pPr>
        <w:spacing w:line="276" w:lineRule="auto"/>
        <w:ind w:firstLine="720"/>
        <w:jc w:val="both"/>
        <w:rPr>
          <w:rFonts w:ascii="Times New Roman" w:hAnsi="Times New Roman" w:cs="Times New Roman"/>
        </w:rPr>
      </w:pPr>
      <w:r w:rsidRPr="00F62CA9">
        <w:rPr>
          <w:rFonts w:ascii="Times New Roman" w:hAnsi="Times New Roman" w:cs="Times New Roman"/>
        </w:rPr>
        <w:t>ε ≈ C₄ + Φ / C₄</w:t>
      </w:r>
    </w:p>
    <w:p w14:paraId="3C2B5470" w14:textId="3C27065A" w:rsidR="00BE5C6A" w:rsidRDefault="00F62CA9" w:rsidP="003A5C99">
      <w:pPr>
        <w:spacing w:line="276" w:lineRule="auto"/>
        <w:jc w:val="both"/>
        <w:rPr>
          <w:rFonts w:ascii="Times New Roman" w:hAnsi="Times New Roman" w:cs="Times New Roman"/>
        </w:rPr>
      </w:pPr>
      <w:r w:rsidRPr="00F62CA9">
        <w:rPr>
          <w:rFonts w:ascii="Times New Roman" w:hAnsi="Times New Roman" w:cs="Times New Roman"/>
        </w:rPr>
        <w:t>Hence, the motion of matter corresponds to a geometric response to the expansion gradient.</w:t>
      </w:r>
      <w:r w:rsidRPr="00F62CA9">
        <w:rPr>
          <w:rFonts w:ascii="Times New Roman" w:hAnsi="Times New Roman" w:cs="Times New Roman"/>
        </w:rPr>
        <w:br/>
        <w:t>In strong-field regions, non-linear coupling of ε leads to deviations that may account for galactic-scale phenomena without invoking dark matter.</w:t>
      </w:r>
      <w:r w:rsidR="00BE5C6A">
        <w:rPr>
          <w:rFonts w:ascii="Times New Roman" w:hAnsi="Times New Roman" w:cs="Times New Roman"/>
        </w:rPr>
        <w:t xml:space="preserve"> </w:t>
      </w:r>
      <w:r w:rsidR="00BE5C6A" w:rsidRPr="00BE5C6A">
        <w:rPr>
          <w:rFonts w:ascii="Times New Roman" w:hAnsi="Times New Roman" w:cs="Times New Roman"/>
        </w:rPr>
        <w:t>This formulation unifies Newtonian, relativistic, and quantum mechanical motion under a single ε-field gradient law.</w:t>
      </w:r>
    </w:p>
    <w:p w14:paraId="1CD333E8" w14:textId="16254F2D" w:rsidR="00F50AAA" w:rsidRPr="00F62CA9" w:rsidRDefault="00F50AAA" w:rsidP="003A5C99">
      <w:pPr>
        <w:spacing w:line="276" w:lineRule="auto"/>
        <w:jc w:val="both"/>
        <w:rPr>
          <w:rFonts w:ascii="Times New Roman" w:hAnsi="Times New Roman" w:cs="Times New Roman"/>
        </w:rPr>
      </w:pPr>
      <w:r w:rsidRPr="00C979EE">
        <w:rPr>
          <w:rFonts w:ascii="Times New Roman" w:hAnsi="Times New Roman" w:cs="Times New Roman"/>
        </w:rPr>
        <w:t xml:space="preserve">This same expansion-gradient framework extends naturally to the electromagnetic and nuclear forces, each arising from distinct projection modes of </w:t>
      </w:r>
      <w:r w:rsidRPr="00D65802">
        <w:rPr>
          <w:rFonts w:ascii="Cambria Math" w:hAnsi="Cambria Math" w:cs="Cambria Math"/>
        </w:rPr>
        <w:t>∇</w:t>
      </w:r>
      <w:r w:rsidRPr="00C979EE">
        <w:rPr>
          <w:rFonts w:ascii="Times New Roman" w:hAnsi="Times New Roman" w:cs="Times New Roman"/>
        </w:rPr>
        <w:t>ε within the 4D manifold</w:t>
      </w:r>
      <w:r w:rsidR="00650C0A">
        <w:rPr>
          <w:rFonts w:ascii="Times New Roman" w:hAnsi="Times New Roman" w:cs="Times New Roman"/>
        </w:rPr>
        <w:t>.</w:t>
      </w:r>
    </w:p>
    <w:p w14:paraId="5E6491CF" w14:textId="77777777" w:rsidR="00092245" w:rsidRPr="00092245" w:rsidRDefault="00092245" w:rsidP="003A5C99">
      <w:pPr>
        <w:pStyle w:val="Heading1"/>
        <w:spacing w:line="276" w:lineRule="auto"/>
      </w:pPr>
      <w:r w:rsidRPr="00092245">
        <w:t>6. Projection-Limit Implications for Quantum Probability and Correlations</w:t>
      </w:r>
    </w:p>
    <w:p w14:paraId="533A99D3" w14:textId="2720C6DA" w:rsidR="00092245" w:rsidRPr="00092245" w:rsidRDefault="00092245" w:rsidP="003A5C99">
      <w:pPr>
        <w:spacing w:line="276" w:lineRule="auto"/>
        <w:jc w:val="both"/>
        <w:rPr>
          <w:rFonts w:ascii="Times New Roman" w:hAnsi="Times New Roman" w:cs="Times New Roman"/>
        </w:rPr>
      </w:pPr>
      <w:r w:rsidRPr="00092245">
        <w:rPr>
          <w:rFonts w:ascii="Times New Roman" w:hAnsi="Times New Roman" w:cs="Times New Roman"/>
        </w:rPr>
        <w:t xml:space="preserve">Within PLG, quantum probability is interpreted geometrically as a consequence of dimensional reduction. A deterministic </w:t>
      </w:r>
      <w:r w:rsidR="006A42CF">
        <w:rPr>
          <w:rFonts w:ascii="Times New Roman" w:hAnsi="Times New Roman" w:cs="Times New Roman"/>
        </w:rPr>
        <w:t>4-dimensional</w:t>
      </w:r>
      <w:r w:rsidRPr="00092245">
        <w:rPr>
          <w:rFonts w:ascii="Times New Roman" w:hAnsi="Times New Roman" w:cs="Times New Roman"/>
        </w:rPr>
        <w:t xml:space="preserve"> availability field defined on the Euclidean manifold is projected into the </w:t>
      </w:r>
      <w:r w:rsidR="00C149A7">
        <w:rPr>
          <w:rFonts w:ascii="Times New Roman" w:hAnsi="Times New Roman" w:cs="Times New Roman"/>
        </w:rPr>
        <w:t>3-dimensional</w:t>
      </w:r>
      <w:r w:rsidRPr="00092245">
        <w:rPr>
          <w:rFonts w:ascii="Times New Roman" w:hAnsi="Times New Roman" w:cs="Times New Roman"/>
        </w:rPr>
        <w:t xml:space="preserve"> Reality Plane under </w:t>
      </w:r>
      <w:r w:rsidR="00D8191B">
        <w:rPr>
          <w:rFonts w:ascii="Times New Roman" w:hAnsi="Times New Roman" w:cs="Times New Roman"/>
        </w:rPr>
        <w:t xml:space="preserve">conservation of </w:t>
      </w:r>
      <w:r w:rsidR="00F04996" w:rsidRPr="00F04996">
        <w:rPr>
          <w:rFonts w:ascii="Times New Roman" w:hAnsi="Times New Roman" w:cs="Times New Roman"/>
        </w:rPr>
        <w:t>total 4D availability.</w:t>
      </w:r>
    </w:p>
    <w:p w14:paraId="6F223436" w14:textId="4556F9AE" w:rsidR="00651CF6" w:rsidRPr="00651CF6" w:rsidRDefault="00651CF6" w:rsidP="00651CF6">
      <w:pPr>
        <w:pStyle w:val="Heading2"/>
        <w:spacing w:line="276" w:lineRule="auto"/>
        <w:rPr>
          <w:bCs/>
        </w:rPr>
      </w:pPr>
      <w:r w:rsidRPr="00651CF6">
        <w:rPr>
          <w:bCs/>
        </w:rPr>
        <w:t xml:space="preserve">6.1 </w:t>
      </w:r>
      <w:r w:rsidR="006A42CF">
        <w:rPr>
          <w:bCs/>
        </w:rPr>
        <w:t>4-</w:t>
      </w:r>
      <w:r w:rsidR="000E67BA">
        <w:rPr>
          <w:bCs/>
        </w:rPr>
        <w:t>d</w:t>
      </w:r>
      <w:r w:rsidR="006A42CF">
        <w:rPr>
          <w:bCs/>
        </w:rPr>
        <w:t>imensional</w:t>
      </w:r>
      <w:r w:rsidRPr="00651CF6">
        <w:rPr>
          <w:bCs/>
        </w:rPr>
        <w:t xml:space="preserve"> Availability Field</w:t>
      </w:r>
    </w:p>
    <w:p w14:paraId="0E39DCF4" w14:textId="511990C5" w:rsidR="00651CF6" w:rsidRPr="00651CF6" w:rsidRDefault="00651CF6" w:rsidP="00651CF6">
      <w:pPr>
        <w:jc w:val="both"/>
        <w:rPr>
          <w:rFonts w:ascii="Times New Roman" w:hAnsi="Times New Roman" w:cs="Times New Roman"/>
        </w:rPr>
      </w:pPr>
      <w:r w:rsidRPr="00651CF6">
        <w:rPr>
          <w:rFonts w:ascii="Times New Roman" w:hAnsi="Times New Roman" w:cs="Times New Roman"/>
        </w:rPr>
        <w:t xml:space="preserve">Let Φ(r, x₄) denote a real scalar availability </w:t>
      </w:r>
      <w:r w:rsidR="00946776">
        <w:rPr>
          <w:rFonts w:ascii="Times New Roman" w:hAnsi="Times New Roman" w:cs="Times New Roman"/>
        </w:rPr>
        <w:t>field</w:t>
      </w:r>
      <w:r w:rsidRPr="00651CF6">
        <w:rPr>
          <w:rFonts w:ascii="Times New Roman" w:hAnsi="Times New Roman" w:cs="Times New Roman"/>
        </w:rPr>
        <w:t xml:space="preserve"> defined on the </w:t>
      </w:r>
      <w:r w:rsidR="006A42CF">
        <w:rPr>
          <w:rFonts w:ascii="Times New Roman" w:hAnsi="Times New Roman" w:cs="Times New Roman"/>
        </w:rPr>
        <w:t>4-dimensional</w:t>
      </w:r>
      <w:r w:rsidRPr="00651CF6">
        <w:rPr>
          <w:rFonts w:ascii="Times New Roman" w:hAnsi="Times New Roman" w:cs="Times New Roman"/>
        </w:rPr>
        <w:t xml:space="preserve"> Euclidean manifold M₄. Here r represents ordinary </w:t>
      </w:r>
      <w:r w:rsidR="00C149A7">
        <w:rPr>
          <w:rFonts w:ascii="Times New Roman" w:hAnsi="Times New Roman" w:cs="Times New Roman"/>
        </w:rPr>
        <w:t>3-dimensional</w:t>
      </w:r>
      <w:r w:rsidRPr="00651CF6">
        <w:rPr>
          <w:rFonts w:ascii="Times New Roman" w:hAnsi="Times New Roman" w:cs="Times New Roman"/>
        </w:rPr>
        <w:t xml:space="preserve"> spatial coordinates and x₄ the fourth spatial coordinate associated with emergent temporal ordering. Φ describes the </w:t>
      </w:r>
      <w:r w:rsidR="00D970F1" w:rsidRPr="00D970F1">
        <w:rPr>
          <w:rFonts w:ascii="Times New Roman" w:hAnsi="Times New Roman" w:cs="Times New Roman"/>
        </w:rPr>
        <w:t>distribution of 4-dimensional availability density defined over an invariant Euclidean manifold</w:t>
      </w:r>
      <w:r w:rsidR="00D970F1">
        <w:rPr>
          <w:rFonts w:ascii="Times New Roman" w:hAnsi="Times New Roman" w:cs="Times New Roman"/>
        </w:rPr>
        <w:t>.</w:t>
      </w:r>
    </w:p>
    <w:p w14:paraId="5CDE2E51" w14:textId="46F3130D" w:rsidR="00651CF6" w:rsidRPr="00651CF6" w:rsidRDefault="00651CF6" w:rsidP="00651CF6">
      <w:pPr>
        <w:spacing w:after="0"/>
        <w:jc w:val="both"/>
        <w:rPr>
          <w:rFonts w:ascii="Times New Roman" w:hAnsi="Times New Roman" w:cs="Times New Roman"/>
        </w:rPr>
      </w:pPr>
      <w:r w:rsidRPr="00651CF6">
        <w:rPr>
          <w:rFonts w:ascii="Times New Roman" w:hAnsi="Times New Roman" w:cs="Times New Roman"/>
        </w:rPr>
        <w:t xml:space="preserve">Its normalization expresses conservation of total </w:t>
      </w:r>
      <w:r w:rsidR="006A42CF">
        <w:rPr>
          <w:rFonts w:ascii="Times New Roman" w:hAnsi="Times New Roman" w:cs="Times New Roman"/>
        </w:rPr>
        <w:t>4-dimensional</w:t>
      </w:r>
      <w:r w:rsidRPr="00651CF6">
        <w:rPr>
          <w:rFonts w:ascii="Times New Roman" w:hAnsi="Times New Roman" w:cs="Times New Roman"/>
        </w:rPr>
        <w:t xml:space="preserve"> availability:</w:t>
      </w:r>
    </w:p>
    <w:p w14:paraId="52A3C3AC" w14:textId="77777777" w:rsidR="00651CF6" w:rsidRPr="00651CF6" w:rsidRDefault="00651CF6" w:rsidP="00651CF6">
      <w:pPr>
        <w:ind w:firstLine="720"/>
        <w:jc w:val="both"/>
        <w:rPr>
          <w:rFonts w:ascii="Times New Roman" w:hAnsi="Times New Roman" w:cs="Times New Roman"/>
        </w:rPr>
      </w:pPr>
      <w:r w:rsidRPr="00651CF6">
        <w:rPr>
          <w:rFonts w:ascii="Times New Roman" w:hAnsi="Times New Roman" w:cs="Times New Roman"/>
        </w:rPr>
        <w:t xml:space="preserve">∫_{M₄} Φ(r, x₄) </w:t>
      </w:r>
      <w:proofErr w:type="spellStart"/>
      <w:r w:rsidRPr="00651CF6">
        <w:rPr>
          <w:rFonts w:ascii="Times New Roman" w:hAnsi="Times New Roman" w:cs="Times New Roman"/>
        </w:rPr>
        <w:t>dV</w:t>
      </w:r>
      <w:proofErr w:type="spellEnd"/>
      <w:r w:rsidRPr="00651CF6">
        <w:rPr>
          <w:rFonts w:ascii="Times New Roman" w:hAnsi="Times New Roman" w:cs="Times New Roman"/>
        </w:rPr>
        <w:t>₄ = 1,</w:t>
      </w:r>
    </w:p>
    <w:p w14:paraId="6F968D0D" w14:textId="77777777" w:rsidR="00651CF6" w:rsidRPr="00651CF6" w:rsidRDefault="00651CF6" w:rsidP="00651CF6">
      <w:pPr>
        <w:jc w:val="both"/>
        <w:rPr>
          <w:rFonts w:ascii="Times New Roman" w:hAnsi="Times New Roman" w:cs="Times New Roman"/>
        </w:rPr>
      </w:pPr>
      <w:r w:rsidRPr="00651CF6">
        <w:rPr>
          <w:rFonts w:ascii="Times New Roman" w:hAnsi="Times New Roman" w:cs="Times New Roman"/>
        </w:rPr>
        <w:t xml:space="preserve">where </w:t>
      </w:r>
      <w:proofErr w:type="spellStart"/>
      <w:r w:rsidRPr="00651CF6">
        <w:rPr>
          <w:rFonts w:ascii="Times New Roman" w:hAnsi="Times New Roman" w:cs="Times New Roman"/>
        </w:rPr>
        <w:t>dV</w:t>
      </w:r>
      <w:proofErr w:type="spellEnd"/>
      <w:r w:rsidRPr="00651CF6">
        <w:rPr>
          <w:rFonts w:ascii="Times New Roman" w:hAnsi="Times New Roman" w:cs="Times New Roman"/>
        </w:rPr>
        <w:t>₄ is the Euclidean four-volume element.</w:t>
      </w:r>
    </w:p>
    <w:p w14:paraId="7DAE1751" w14:textId="77F37542" w:rsidR="00651CF6" w:rsidRPr="00651CF6" w:rsidRDefault="00651CF6" w:rsidP="00651CF6">
      <w:pPr>
        <w:jc w:val="both"/>
        <w:rPr>
          <w:rFonts w:ascii="Times New Roman" w:hAnsi="Times New Roman" w:cs="Times New Roman"/>
        </w:rPr>
      </w:pPr>
      <w:r w:rsidRPr="00651CF6">
        <w:rPr>
          <w:rFonts w:ascii="Times New Roman" w:hAnsi="Times New Roman" w:cs="Times New Roman"/>
        </w:rPr>
        <w:t xml:space="preserve">Interference occurs at the level of this </w:t>
      </w:r>
      <w:r w:rsidR="006A42CF">
        <w:rPr>
          <w:rFonts w:ascii="Times New Roman" w:hAnsi="Times New Roman" w:cs="Times New Roman"/>
        </w:rPr>
        <w:t>4-dimensional</w:t>
      </w:r>
      <w:r w:rsidRPr="00651CF6">
        <w:rPr>
          <w:rFonts w:ascii="Times New Roman" w:hAnsi="Times New Roman" w:cs="Times New Roman"/>
        </w:rPr>
        <w:t xml:space="preserve"> field and is therefore linear prior to projection.</w:t>
      </w:r>
    </w:p>
    <w:p w14:paraId="0B32431A" w14:textId="77777777" w:rsidR="00651CF6" w:rsidRPr="00651CF6" w:rsidRDefault="00651CF6" w:rsidP="00651CF6">
      <w:pPr>
        <w:pStyle w:val="Heading2"/>
      </w:pPr>
      <w:r w:rsidRPr="00651CF6">
        <w:t>6.2 Projection to the Reality Plane</w:t>
      </w:r>
    </w:p>
    <w:p w14:paraId="2244F757" w14:textId="713AF047" w:rsidR="00651CF6" w:rsidRPr="00651CF6" w:rsidRDefault="00651CF6" w:rsidP="00651CF6">
      <w:pPr>
        <w:spacing w:after="0"/>
        <w:jc w:val="both"/>
        <w:rPr>
          <w:rFonts w:ascii="Times New Roman" w:hAnsi="Times New Roman" w:cs="Times New Roman"/>
        </w:rPr>
      </w:pPr>
      <w:r w:rsidRPr="00651CF6">
        <w:rPr>
          <w:rFonts w:ascii="Times New Roman" w:hAnsi="Times New Roman" w:cs="Times New Roman"/>
        </w:rPr>
        <w:t>Measurement corresponds to geometric intersection of Φ with the observer’s Reality Plane at x₄ = x₄ᵒ. Allowing for finite projection resolution, the effective projected amplitude is defined by</w:t>
      </w:r>
      <w:r>
        <w:rPr>
          <w:rFonts w:ascii="Times New Roman" w:hAnsi="Times New Roman" w:cs="Times New Roman"/>
        </w:rPr>
        <w:t>:</w:t>
      </w:r>
    </w:p>
    <w:p w14:paraId="4AD1959A" w14:textId="7D20C47B" w:rsidR="00651CF6" w:rsidRPr="00651CF6" w:rsidRDefault="00651CF6" w:rsidP="00651CF6">
      <w:pPr>
        <w:spacing w:after="0"/>
        <w:ind w:firstLine="720"/>
        <w:jc w:val="both"/>
        <w:rPr>
          <w:rFonts w:ascii="Times New Roman" w:hAnsi="Times New Roman" w:cs="Times New Roman"/>
        </w:rPr>
      </w:pPr>
      <w:r w:rsidRPr="00651CF6">
        <w:rPr>
          <w:rFonts w:ascii="Times New Roman" w:hAnsi="Times New Roman" w:cs="Times New Roman"/>
        </w:rPr>
        <w:t>Ψ(r) = ∫ W(x₄ − x₄ᵒ) Φ(r, x₄) dx₄</w:t>
      </w:r>
    </w:p>
    <w:p w14:paraId="65651C58" w14:textId="77777777" w:rsidR="00651CF6" w:rsidRPr="00651CF6" w:rsidRDefault="00651CF6" w:rsidP="00651CF6">
      <w:pPr>
        <w:jc w:val="both"/>
        <w:rPr>
          <w:rFonts w:ascii="Times New Roman" w:hAnsi="Times New Roman" w:cs="Times New Roman"/>
        </w:rPr>
      </w:pPr>
      <w:r w:rsidRPr="00651CF6">
        <w:rPr>
          <w:rFonts w:ascii="Times New Roman" w:hAnsi="Times New Roman" w:cs="Times New Roman"/>
        </w:rPr>
        <w:t>where W is a normalized window function representing the finite thickness of the projection interface.</w:t>
      </w:r>
    </w:p>
    <w:p w14:paraId="72FD4F48" w14:textId="77777777" w:rsidR="00651CF6" w:rsidRPr="00651CF6" w:rsidRDefault="00651CF6" w:rsidP="00651CF6">
      <w:pPr>
        <w:jc w:val="both"/>
        <w:rPr>
          <w:rFonts w:ascii="Times New Roman" w:hAnsi="Times New Roman" w:cs="Times New Roman"/>
        </w:rPr>
      </w:pPr>
      <w:r w:rsidRPr="00651CF6">
        <w:rPr>
          <w:rFonts w:ascii="Times New Roman" w:hAnsi="Times New Roman" w:cs="Times New Roman"/>
        </w:rPr>
        <w:t>The mapping Φ → Ψ is linear; hence superposition in four dimensions produces superposition in the projected amplitude. Ψ is therefore interpreted as a projected amplitude arising from dimensional reduction, rather than a probability density defined a priori.</w:t>
      </w:r>
    </w:p>
    <w:p w14:paraId="5D0BB696" w14:textId="77777777" w:rsidR="00092245" w:rsidRPr="00092245" w:rsidRDefault="00092245" w:rsidP="003A5C99">
      <w:pPr>
        <w:pStyle w:val="Heading2"/>
        <w:spacing w:line="276" w:lineRule="auto"/>
      </w:pPr>
      <w:r w:rsidRPr="00092245">
        <w:t>6.3 Emergence of the Squared Probability Law</w:t>
      </w:r>
    </w:p>
    <w:p w14:paraId="5DE6CD1D" w14:textId="0E00F041" w:rsidR="00695582" w:rsidRPr="00695582" w:rsidRDefault="00695582" w:rsidP="00695582">
      <w:pPr>
        <w:jc w:val="both"/>
        <w:rPr>
          <w:rFonts w:ascii="Times New Roman" w:hAnsi="Times New Roman" w:cs="Times New Roman"/>
        </w:rPr>
      </w:pPr>
      <w:r w:rsidRPr="00695582">
        <w:rPr>
          <w:rFonts w:ascii="Times New Roman" w:hAnsi="Times New Roman" w:cs="Times New Roman"/>
        </w:rPr>
        <w:t xml:space="preserve">Conservation of total </w:t>
      </w:r>
      <w:r w:rsidR="006A42CF">
        <w:rPr>
          <w:rFonts w:ascii="Times New Roman" w:hAnsi="Times New Roman" w:cs="Times New Roman"/>
        </w:rPr>
        <w:t>4-dimensional</w:t>
      </w:r>
      <w:r w:rsidRPr="00695582">
        <w:rPr>
          <w:rFonts w:ascii="Times New Roman" w:hAnsi="Times New Roman" w:cs="Times New Roman"/>
        </w:rPr>
        <w:t xml:space="preserve"> availability constrains the admissible mapping between the projected amplitude Ψ and observable detection probability. The probability density must satisfy the following conditions:</w:t>
      </w:r>
    </w:p>
    <w:p w14:paraId="146B2E95" w14:textId="77777777" w:rsidR="00604D7C" w:rsidRDefault="00695582" w:rsidP="002E4F3B">
      <w:pPr>
        <w:pStyle w:val="ListParagraph"/>
        <w:numPr>
          <w:ilvl w:val="0"/>
          <w:numId w:val="22"/>
        </w:numPr>
        <w:ind w:left="851" w:hanging="207"/>
        <w:jc w:val="both"/>
        <w:rPr>
          <w:rFonts w:ascii="Times New Roman" w:hAnsi="Times New Roman" w:cs="Times New Roman"/>
        </w:rPr>
      </w:pPr>
      <w:r w:rsidRPr="00604D7C">
        <w:rPr>
          <w:rFonts w:ascii="Times New Roman" w:hAnsi="Times New Roman" w:cs="Times New Roman"/>
        </w:rPr>
        <w:t>Positivity</w:t>
      </w:r>
    </w:p>
    <w:p w14:paraId="31B8A2E9" w14:textId="507E32AE" w:rsidR="000028C9" w:rsidRPr="00604D7C" w:rsidRDefault="00695582" w:rsidP="002E4F3B">
      <w:pPr>
        <w:pStyle w:val="ListParagraph"/>
        <w:numPr>
          <w:ilvl w:val="0"/>
          <w:numId w:val="22"/>
        </w:numPr>
        <w:ind w:left="851" w:hanging="207"/>
        <w:jc w:val="both"/>
        <w:rPr>
          <w:rFonts w:ascii="Times New Roman" w:hAnsi="Times New Roman" w:cs="Times New Roman"/>
        </w:rPr>
      </w:pPr>
      <w:r w:rsidRPr="00604D7C">
        <w:rPr>
          <w:rFonts w:ascii="Times New Roman" w:hAnsi="Times New Roman" w:cs="Times New Roman"/>
        </w:rPr>
        <w:t>Additivity over disjoint spatial regions</w:t>
      </w:r>
    </w:p>
    <w:p w14:paraId="46F83130" w14:textId="6EE6B6C9" w:rsidR="000028C9" w:rsidRPr="00604D7C" w:rsidRDefault="00695582" w:rsidP="002E4F3B">
      <w:pPr>
        <w:pStyle w:val="ListParagraph"/>
        <w:numPr>
          <w:ilvl w:val="0"/>
          <w:numId w:val="22"/>
        </w:numPr>
        <w:spacing w:after="0"/>
        <w:ind w:left="851" w:hanging="207"/>
        <w:rPr>
          <w:rFonts w:ascii="Times New Roman" w:hAnsi="Times New Roman" w:cs="Times New Roman"/>
        </w:rPr>
      </w:pPr>
      <w:r w:rsidRPr="00604D7C">
        <w:rPr>
          <w:rFonts w:ascii="Times New Roman" w:hAnsi="Times New Roman" w:cs="Times New Roman"/>
        </w:rPr>
        <w:t>Invariance under rotations within the Reality Plane</w:t>
      </w:r>
    </w:p>
    <w:p w14:paraId="7A57A813" w14:textId="4C882F49" w:rsidR="00695582" w:rsidRPr="00604D7C" w:rsidRDefault="00695582" w:rsidP="002E4F3B">
      <w:pPr>
        <w:pStyle w:val="ListParagraph"/>
        <w:numPr>
          <w:ilvl w:val="0"/>
          <w:numId w:val="22"/>
        </w:numPr>
        <w:ind w:left="851" w:hanging="207"/>
        <w:jc w:val="both"/>
        <w:rPr>
          <w:rFonts w:ascii="Times New Roman" w:hAnsi="Times New Roman" w:cs="Times New Roman"/>
        </w:rPr>
      </w:pPr>
      <w:r w:rsidRPr="00604D7C">
        <w:rPr>
          <w:rFonts w:ascii="Times New Roman" w:hAnsi="Times New Roman" w:cs="Times New Roman"/>
        </w:rPr>
        <w:t>Compatibility with linear superposition of amplitudes</w:t>
      </w:r>
    </w:p>
    <w:p w14:paraId="0FD7D93E" w14:textId="77777777" w:rsidR="00695582" w:rsidRPr="00695582" w:rsidRDefault="00695582" w:rsidP="00695582">
      <w:pPr>
        <w:jc w:val="both"/>
        <w:rPr>
          <w:rFonts w:ascii="Times New Roman" w:hAnsi="Times New Roman" w:cs="Times New Roman"/>
        </w:rPr>
      </w:pPr>
      <w:r w:rsidRPr="00695582">
        <w:rPr>
          <w:rFonts w:ascii="Times New Roman" w:hAnsi="Times New Roman" w:cs="Times New Roman"/>
        </w:rPr>
        <w:t>Any linear functional of Ψ fails positivity under destructive interference, while absolute-value weighting fails additivity under superposition. The only local rotationally invariant scalar constructed from Ψ that preserves both additivity and compatibility with linear superposition is its squared magnitude.</w:t>
      </w:r>
    </w:p>
    <w:p w14:paraId="66B5C835" w14:textId="77777777" w:rsidR="00695582" w:rsidRPr="00695582" w:rsidRDefault="00695582" w:rsidP="00E40D30">
      <w:pPr>
        <w:spacing w:after="0"/>
        <w:jc w:val="both"/>
        <w:rPr>
          <w:rFonts w:ascii="Times New Roman" w:hAnsi="Times New Roman" w:cs="Times New Roman"/>
        </w:rPr>
      </w:pPr>
      <w:r w:rsidRPr="00695582">
        <w:rPr>
          <w:rFonts w:ascii="Times New Roman" w:hAnsi="Times New Roman" w:cs="Times New Roman"/>
        </w:rPr>
        <w:t>The observable detection probability therefore takes the form:</w:t>
      </w:r>
    </w:p>
    <w:p w14:paraId="66CE8B4B" w14:textId="77777777" w:rsidR="00695582" w:rsidRPr="00695582" w:rsidRDefault="00695582" w:rsidP="00E40D30">
      <w:pPr>
        <w:ind w:firstLine="720"/>
        <w:jc w:val="both"/>
        <w:rPr>
          <w:rFonts w:ascii="Times New Roman" w:hAnsi="Times New Roman" w:cs="Times New Roman"/>
        </w:rPr>
      </w:pPr>
      <w:r w:rsidRPr="00695582">
        <w:rPr>
          <w:rFonts w:ascii="Times New Roman" w:hAnsi="Times New Roman" w:cs="Times New Roman"/>
        </w:rPr>
        <w:t xml:space="preserve">P(r) </w:t>
      </w:r>
      <w:r w:rsidRPr="00695582">
        <w:rPr>
          <w:rFonts w:ascii="Cambria Math" w:hAnsi="Cambria Math" w:cs="Cambria Math"/>
        </w:rPr>
        <w:t>∝</w:t>
      </w:r>
      <w:r w:rsidRPr="00695582">
        <w:rPr>
          <w:rFonts w:ascii="Times New Roman" w:hAnsi="Times New Roman" w:cs="Times New Roman"/>
        </w:rPr>
        <w:t xml:space="preserve"> |Ψ(r)|².</w:t>
      </w:r>
    </w:p>
    <w:p w14:paraId="1CC2A79F" w14:textId="09A4419B" w:rsidR="00695582" w:rsidRPr="00695582" w:rsidRDefault="00695582" w:rsidP="00695582">
      <w:pPr>
        <w:jc w:val="both"/>
        <w:rPr>
          <w:rFonts w:ascii="Times New Roman" w:hAnsi="Times New Roman" w:cs="Times New Roman"/>
        </w:rPr>
      </w:pPr>
      <w:r w:rsidRPr="00695582">
        <w:rPr>
          <w:rFonts w:ascii="Times New Roman" w:hAnsi="Times New Roman" w:cs="Times New Roman"/>
        </w:rPr>
        <w:t xml:space="preserve">Linear interference remains a property of the </w:t>
      </w:r>
      <w:r w:rsidR="006A42CF">
        <w:rPr>
          <w:rFonts w:ascii="Times New Roman" w:hAnsi="Times New Roman" w:cs="Times New Roman"/>
        </w:rPr>
        <w:t>4-dimensional</w:t>
      </w:r>
      <w:r w:rsidRPr="00695582">
        <w:rPr>
          <w:rFonts w:ascii="Times New Roman" w:hAnsi="Times New Roman" w:cs="Times New Roman"/>
        </w:rPr>
        <w:t xml:space="preserve"> availability field and its linear projection, while quadratic probability weighting arises as a geometric consequence of dimensional reduction.</w:t>
      </w:r>
    </w:p>
    <w:p w14:paraId="0990AFC3" w14:textId="77777777" w:rsidR="004C3D65" w:rsidRPr="004C3D65" w:rsidRDefault="004C3D65" w:rsidP="004C3D65">
      <w:pPr>
        <w:pStyle w:val="Heading2"/>
        <w:rPr>
          <w:bCs/>
        </w:rPr>
      </w:pPr>
      <w:r w:rsidRPr="004C3D65">
        <w:rPr>
          <w:bCs/>
        </w:rPr>
        <w:t>6.4 Event Realisation and Projection-Limit Structure</w:t>
      </w:r>
    </w:p>
    <w:p w14:paraId="0EB374FB" w14:textId="77777777" w:rsidR="004C3D65" w:rsidRPr="004C3D65" w:rsidRDefault="004C3D65" w:rsidP="004C3D65">
      <w:pPr>
        <w:jc w:val="both"/>
        <w:rPr>
          <w:rFonts w:ascii="Times New Roman" w:hAnsi="Times New Roman" w:cs="Times New Roman"/>
        </w:rPr>
      </w:pPr>
      <w:r w:rsidRPr="004C3D65">
        <w:rPr>
          <w:rFonts w:ascii="Times New Roman" w:hAnsi="Times New Roman" w:cs="Times New Roman"/>
        </w:rPr>
        <w:t>The availability field Φ evolves deterministically in four dimensions. A detection event corresponds to geometric intersection of this field with the advancing Reality Plane under the finite projection bound imposed by the invariant expansion magnitude.</w:t>
      </w:r>
    </w:p>
    <w:p w14:paraId="159B69F3" w14:textId="77777777" w:rsidR="004C3D65" w:rsidRPr="004C3D65" w:rsidRDefault="004C3D65" w:rsidP="004C3D65">
      <w:pPr>
        <w:jc w:val="both"/>
        <w:rPr>
          <w:rFonts w:ascii="Times New Roman" w:hAnsi="Times New Roman" w:cs="Times New Roman"/>
        </w:rPr>
      </w:pPr>
      <w:r w:rsidRPr="004C3D65">
        <w:rPr>
          <w:rFonts w:ascii="Times New Roman" w:hAnsi="Times New Roman" w:cs="Times New Roman"/>
        </w:rPr>
        <w:t>For projection-limit configurations (u₄ → 0), the configuration admits no finite displacement along x₄ relative to the Reality Plane and therefore possesses no finite metric support. Such configurations cannot be assigned a localized extent within the observer-defined 3-dimensional metric.</w:t>
      </w:r>
    </w:p>
    <w:p w14:paraId="063C3B90" w14:textId="77777777" w:rsidR="004C3D65" w:rsidRPr="004C3D65" w:rsidRDefault="004C3D65" w:rsidP="004C3D65">
      <w:pPr>
        <w:jc w:val="both"/>
        <w:rPr>
          <w:rFonts w:ascii="Times New Roman" w:hAnsi="Times New Roman" w:cs="Times New Roman"/>
        </w:rPr>
      </w:pPr>
      <w:r w:rsidRPr="004C3D65">
        <w:rPr>
          <w:rFonts w:ascii="Times New Roman" w:hAnsi="Times New Roman" w:cs="Times New Roman"/>
        </w:rPr>
        <w:t>When the projected amplitude is symmetric across a region of the Reality Plane, no preferred interaction location exists at the level of the 4-dimensional field. The observed discreteness of detection events therefore arises at the stage of projection, where a single localized interaction is realised consistent with the normalized availability distribution.</w:t>
      </w:r>
    </w:p>
    <w:p w14:paraId="73126A2B" w14:textId="3C9E8CA8" w:rsidR="00586177" w:rsidRPr="00586177" w:rsidRDefault="00586177" w:rsidP="00586177">
      <w:pPr>
        <w:pStyle w:val="Heading2"/>
      </w:pPr>
      <w:r w:rsidRPr="00586177">
        <w:t>6.</w:t>
      </w:r>
      <w:r>
        <w:t>5</w:t>
      </w:r>
      <w:r w:rsidRPr="00586177">
        <w:t xml:space="preserve"> Projection-Limit Incompatibility and Necessity of Localisation</w:t>
      </w:r>
    </w:p>
    <w:p w14:paraId="25F9B82A" w14:textId="77777777" w:rsidR="007A3688" w:rsidRPr="007A3688" w:rsidRDefault="007A3688" w:rsidP="007A3688">
      <w:pPr>
        <w:jc w:val="both"/>
        <w:rPr>
          <w:rFonts w:ascii="Times New Roman" w:hAnsi="Times New Roman" w:cs="Times New Roman"/>
        </w:rPr>
      </w:pPr>
      <w:r w:rsidRPr="007A3688">
        <w:rPr>
          <w:rFonts w:ascii="Times New Roman" w:hAnsi="Times New Roman" w:cs="Times New Roman"/>
        </w:rPr>
        <w:t>Within PLG, a free photon corresponds to a projection-limit configuration of the conserved 4-dimensional expansion invariant, satisfying u₄ → 0. As established in Section 2.4, such configurations admit no finite displacement along x₄ relative to the observer-defined Reality Plane and therefore possess no finite metric support.</w:t>
      </w:r>
    </w:p>
    <w:p w14:paraId="781ADE60" w14:textId="77777777" w:rsidR="007A3688" w:rsidRPr="007A3688" w:rsidRDefault="007A3688" w:rsidP="007A3688">
      <w:pPr>
        <w:jc w:val="both"/>
        <w:rPr>
          <w:rFonts w:ascii="Times New Roman" w:hAnsi="Times New Roman" w:cs="Times New Roman"/>
        </w:rPr>
      </w:pPr>
      <w:r w:rsidRPr="007A3688">
        <w:rPr>
          <w:rFonts w:ascii="Times New Roman" w:hAnsi="Times New Roman" w:cs="Times New Roman"/>
        </w:rPr>
        <w:t>By contrast, a detection event corresponds to a stable excitation of a material system. Such systems possess finite local metric structure and nonzero anchoring along x₄ (u₄ &gt; 0), and therefore require configurations that are spatially localized and metrically compatible with the local expansion magnitude ε(x).</w:t>
      </w:r>
    </w:p>
    <w:p w14:paraId="39D1EEC7" w14:textId="54ACE672" w:rsidR="007A3688" w:rsidRPr="007A3688" w:rsidRDefault="007A3688" w:rsidP="007A3688">
      <w:pPr>
        <w:jc w:val="both"/>
        <w:rPr>
          <w:rFonts w:ascii="Times New Roman" w:hAnsi="Times New Roman" w:cs="Times New Roman"/>
        </w:rPr>
      </w:pPr>
      <w:r w:rsidRPr="007A3688">
        <w:rPr>
          <w:rFonts w:ascii="Times New Roman" w:hAnsi="Times New Roman" w:cs="Times New Roman"/>
        </w:rPr>
        <w:t>These two regimes are geometrically incompatible. A projection-limit configuration, lacking finite x₄ anchoring, cannot correspond to a localized detector excitation without violating the requirement of finite metric support. Consequently, interaction with a finite-metric system cannot preserve the projection-limit state as such. Instead, the coupling enforces a transition to a configuration that admits finite x₄ anchoring within the detector.</w:t>
      </w:r>
    </w:p>
    <w:p w14:paraId="45C22355" w14:textId="77777777" w:rsidR="007A3688" w:rsidRPr="007A3688" w:rsidRDefault="007A3688" w:rsidP="007A3688">
      <w:pPr>
        <w:spacing w:after="0"/>
        <w:jc w:val="both"/>
        <w:rPr>
          <w:rFonts w:ascii="Times New Roman" w:hAnsi="Times New Roman" w:cs="Times New Roman"/>
        </w:rPr>
      </w:pPr>
      <w:r w:rsidRPr="007A3688">
        <w:rPr>
          <w:rFonts w:ascii="Times New Roman" w:hAnsi="Times New Roman" w:cs="Times New Roman"/>
        </w:rPr>
        <w:t>Formally, measurement is represented by a projection operator M acting on the 4-dimensional availability field Φ, defined by a finite window function W(x₄ − x₄ᵒ):</w:t>
      </w:r>
    </w:p>
    <w:p w14:paraId="743911D1" w14:textId="19356208" w:rsidR="007A3688" w:rsidRPr="007A3688" w:rsidRDefault="00E71736" w:rsidP="00E71736">
      <w:pPr>
        <w:spacing w:after="0"/>
        <w:ind w:firstLine="720"/>
        <w:rPr>
          <w:rFonts w:ascii="Times New Roman" w:hAnsi="Times New Roman" w:cs="Times New Roman"/>
        </w:rPr>
      </w:pPr>
      <w:r w:rsidRPr="00E71736">
        <w:rPr>
          <w:rFonts w:ascii="Times New Roman" w:hAnsi="Times New Roman" w:cs="Times New Roman"/>
        </w:rPr>
        <w:t>M[Φ](r) = ∫ W(x₄ − x₄ᵒ) Φ(r, x₄) dx₄</w:t>
      </w:r>
      <w:r w:rsidRPr="00E71736">
        <w:rPr>
          <w:rFonts w:ascii="Times New Roman" w:hAnsi="Times New Roman" w:cs="Times New Roman"/>
        </w:rPr>
        <w:br/>
      </w:r>
      <w:r w:rsidR="007A3688" w:rsidRPr="007A3688">
        <w:rPr>
          <w:rFonts w:ascii="Times New Roman" w:hAnsi="Times New Roman" w:cs="Times New Roman"/>
        </w:rPr>
        <w:t>The projected amplitude is therefore:</w:t>
      </w:r>
    </w:p>
    <w:p w14:paraId="70198708" w14:textId="77777777" w:rsidR="002D4267" w:rsidRDefault="002D4267" w:rsidP="002D4267">
      <w:pPr>
        <w:ind w:firstLine="720"/>
        <w:jc w:val="both"/>
        <w:rPr>
          <w:rFonts w:ascii="Times New Roman" w:hAnsi="Times New Roman" w:cs="Times New Roman"/>
        </w:rPr>
      </w:pPr>
      <w:r w:rsidRPr="002D4267">
        <w:rPr>
          <w:rFonts w:ascii="Times New Roman" w:hAnsi="Times New Roman" w:cs="Times New Roman"/>
        </w:rPr>
        <w:t>Ψ(r) = M[Φ](r)</w:t>
      </w:r>
    </w:p>
    <w:p w14:paraId="1EDB505D" w14:textId="0C1A82D3" w:rsidR="007A3688" w:rsidRPr="007A3688" w:rsidRDefault="007A3688" w:rsidP="007A3688">
      <w:pPr>
        <w:jc w:val="both"/>
        <w:rPr>
          <w:rFonts w:ascii="Times New Roman" w:hAnsi="Times New Roman" w:cs="Times New Roman"/>
        </w:rPr>
      </w:pPr>
      <w:r w:rsidRPr="007A3688">
        <w:rPr>
          <w:rFonts w:ascii="Times New Roman" w:hAnsi="Times New Roman" w:cs="Times New Roman"/>
        </w:rPr>
        <w:t>The finite support of W encodes the requirement of metric compatibility with the detector, restricting the admissible configuration to one localized in both spatial and x₄ coordinates. Conservation of total 4-dimensional availability then implies that the realized interaction corresponds to a discrete localized event within this finite support.</w:t>
      </w:r>
    </w:p>
    <w:p w14:paraId="5EA6B4FC" w14:textId="77777777" w:rsidR="007A3688" w:rsidRPr="007A3688" w:rsidRDefault="007A3688" w:rsidP="007A3688">
      <w:pPr>
        <w:jc w:val="both"/>
        <w:rPr>
          <w:rFonts w:ascii="Times New Roman" w:hAnsi="Times New Roman" w:cs="Times New Roman"/>
        </w:rPr>
      </w:pPr>
      <w:r w:rsidRPr="007A3688">
        <w:rPr>
          <w:rFonts w:ascii="Times New Roman" w:hAnsi="Times New Roman" w:cs="Times New Roman"/>
        </w:rPr>
        <w:t>Observed localisation (“collapse”) is therefore not an independent dynamical postulate but a necessary geometric consequence of coupling between a projection-limit configuration and a finite-metric system. It represents a required transition from an unanchored 4-dimensional availability distribution to a detector-supported configuration compatible with ε(x).</w:t>
      </w:r>
    </w:p>
    <w:p w14:paraId="44F992CB" w14:textId="1B11091F" w:rsidR="00092245" w:rsidRPr="00092245" w:rsidRDefault="00092245" w:rsidP="003A5C99">
      <w:pPr>
        <w:pStyle w:val="Heading2"/>
        <w:spacing w:line="276" w:lineRule="auto"/>
      </w:pPr>
      <w:r w:rsidRPr="00092245">
        <w:t>6.</w:t>
      </w:r>
      <w:r w:rsidR="00D755CD">
        <w:t>6</w:t>
      </w:r>
      <w:r w:rsidRPr="00092245">
        <w:t xml:space="preserve"> Entanglement as Shared </w:t>
      </w:r>
      <w:r w:rsidR="006A42CF">
        <w:t>4-dimensional</w:t>
      </w:r>
      <w:r w:rsidRPr="00092245">
        <w:t xml:space="preserve"> Geometry</w:t>
      </w:r>
    </w:p>
    <w:p w14:paraId="755CD1E9" w14:textId="229B3DCE" w:rsidR="00050F4E" w:rsidRPr="00050F4E" w:rsidRDefault="00050F4E" w:rsidP="00050F4E">
      <w:pPr>
        <w:spacing w:after="0"/>
        <w:jc w:val="both"/>
        <w:rPr>
          <w:rFonts w:ascii="Times New Roman" w:hAnsi="Times New Roman" w:cs="Times New Roman"/>
        </w:rPr>
      </w:pPr>
      <w:r w:rsidRPr="00050F4E">
        <w:rPr>
          <w:rFonts w:ascii="Times New Roman" w:hAnsi="Times New Roman" w:cs="Times New Roman"/>
        </w:rPr>
        <w:t xml:space="preserve">In PLG, an entangled pair is described as a single static configuration on the </w:t>
      </w:r>
      <w:r w:rsidR="006A42CF">
        <w:rPr>
          <w:rFonts w:ascii="Times New Roman" w:hAnsi="Times New Roman" w:cs="Times New Roman"/>
        </w:rPr>
        <w:t>4-dimensional</w:t>
      </w:r>
      <w:r w:rsidRPr="00050F4E">
        <w:rPr>
          <w:rFonts w:ascii="Times New Roman" w:hAnsi="Times New Roman" w:cs="Times New Roman"/>
        </w:rPr>
        <w:t xml:space="preserve"> Euclidean manifold R⁴ rather than as two independent </w:t>
      </w:r>
      <w:r w:rsidR="00C149A7">
        <w:rPr>
          <w:rFonts w:ascii="Times New Roman" w:hAnsi="Times New Roman" w:cs="Times New Roman"/>
        </w:rPr>
        <w:t>3-dimensional</w:t>
      </w:r>
      <w:r w:rsidRPr="00050F4E">
        <w:rPr>
          <w:rFonts w:ascii="Times New Roman" w:hAnsi="Times New Roman" w:cs="Times New Roman"/>
        </w:rPr>
        <w:t xml:space="preserve"> systems. The joint availability distribution is written</w:t>
      </w:r>
      <w:r>
        <w:rPr>
          <w:rFonts w:ascii="Times New Roman" w:hAnsi="Times New Roman" w:cs="Times New Roman"/>
        </w:rPr>
        <w:t>:</w:t>
      </w:r>
    </w:p>
    <w:p w14:paraId="04EDC725" w14:textId="79842B1A" w:rsidR="00050F4E" w:rsidRPr="00050F4E" w:rsidRDefault="00050F4E" w:rsidP="00050F4E">
      <w:pPr>
        <w:ind w:firstLine="720"/>
        <w:jc w:val="both"/>
        <w:rPr>
          <w:rFonts w:ascii="Times New Roman" w:hAnsi="Times New Roman" w:cs="Times New Roman"/>
        </w:rPr>
      </w:pPr>
      <w:r w:rsidRPr="00050F4E">
        <w:rPr>
          <w:rFonts w:ascii="Times New Roman" w:hAnsi="Times New Roman" w:cs="Times New Roman"/>
        </w:rPr>
        <w:t>Φ(</w:t>
      </w:r>
      <w:proofErr w:type="spellStart"/>
      <w:r w:rsidRPr="00050F4E">
        <w:rPr>
          <w:rFonts w:ascii="Times New Roman" w:hAnsi="Times New Roman" w:cs="Times New Roman"/>
        </w:rPr>
        <w:t>r_A</w:t>
      </w:r>
      <w:proofErr w:type="spellEnd"/>
      <w:r w:rsidRPr="00050F4E">
        <w:rPr>
          <w:rFonts w:ascii="Times New Roman" w:hAnsi="Times New Roman" w:cs="Times New Roman"/>
        </w:rPr>
        <w:t xml:space="preserve">, </w:t>
      </w:r>
      <w:proofErr w:type="spellStart"/>
      <w:r w:rsidRPr="00050F4E">
        <w:rPr>
          <w:rFonts w:ascii="Times New Roman" w:hAnsi="Times New Roman" w:cs="Times New Roman"/>
        </w:rPr>
        <w:t>r_B</w:t>
      </w:r>
      <w:proofErr w:type="spellEnd"/>
      <w:r w:rsidRPr="00050F4E">
        <w:rPr>
          <w:rFonts w:ascii="Times New Roman" w:hAnsi="Times New Roman" w:cs="Times New Roman"/>
        </w:rPr>
        <w:t>, x₄)</w:t>
      </w:r>
    </w:p>
    <w:p w14:paraId="30FD79E2" w14:textId="77777777" w:rsidR="00050F4E" w:rsidRPr="00050F4E" w:rsidRDefault="00050F4E" w:rsidP="00050F4E">
      <w:pPr>
        <w:jc w:val="both"/>
        <w:rPr>
          <w:rFonts w:ascii="Times New Roman" w:hAnsi="Times New Roman" w:cs="Times New Roman"/>
        </w:rPr>
      </w:pPr>
      <w:r w:rsidRPr="00050F4E">
        <w:rPr>
          <w:rFonts w:ascii="Times New Roman" w:hAnsi="Times New Roman" w:cs="Times New Roman"/>
        </w:rPr>
        <w:t xml:space="preserve">where </w:t>
      </w:r>
      <w:proofErr w:type="spellStart"/>
      <w:r w:rsidRPr="00050F4E">
        <w:rPr>
          <w:rFonts w:ascii="Times New Roman" w:hAnsi="Times New Roman" w:cs="Times New Roman"/>
        </w:rPr>
        <w:t>r_A</w:t>
      </w:r>
      <w:proofErr w:type="spellEnd"/>
      <w:r w:rsidRPr="00050F4E">
        <w:rPr>
          <w:rFonts w:ascii="Times New Roman" w:hAnsi="Times New Roman" w:cs="Times New Roman"/>
        </w:rPr>
        <w:t xml:space="preserve"> and </w:t>
      </w:r>
      <w:proofErr w:type="spellStart"/>
      <w:r w:rsidRPr="00050F4E">
        <w:rPr>
          <w:rFonts w:ascii="Times New Roman" w:hAnsi="Times New Roman" w:cs="Times New Roman"/>
        </w:rPr>
        <w:t>r_B</w:t>
      </w:r>
      <w:proofErr w:type="spellEnd"/>
      <w:r w:rsidRPr="00050F4E">
        <w:rPr>
          <w:rFonts w:ascii="Times New Roman" w:hAnsi="Times New Roman" w:cs="Times New Roman"/>
        </w:rPr>
        <w:t xml:space="preserve"> are the spatial coordinates of subsystems A and B, and x₄ is the fourth spatial coordinate associated with emergent temporal ordering.</w:t>
      </w:r>
    </w:p>
    <w:p w14:paraId="0739A9B9" w14:textId="77777777" w:rsidR="00050F4E" w:rsidRPr="00050F4E" w:rsidRDefault="00050F4E" w:rsidP="00050F4E">
      <w:pPr>
        <w:spacing w:after="0"/>
        <w:jc w:val="both"/>
        <w:rPr>
          <w:rFonts w:ascii="Times New Roman" w:hAnsi="Times New Roman" w:cs="Times New Roman"/>
        </w:rPr>
      </w:pPr>
      <w:r w:rsidRPr="00050F4E">
        <w:rPr>
          <w:rFonts w:ascii="Times New Roman" w:hAnsi="Times New Roman" w:cs="Times New Roman"/>
        </w:rPr>
        <w:t xml:space="preserve">Observable amplitudes arise through dimensional reduction onto the observer’s Reality Plane via a localized projection kernel W(x₄ − x₄ᵒ), </w:t>
      </w:r>
      <w:proofErr w:type="spellStart"/>
      <w:r w:rsidRPr="00050F4E">
        <w:rPr>
          <w:rFonts w:ascii="Times New Roman" w:hAnsi="Times New Roman" w:cs="Times New Roman"/>
        </w:rPr>
        <w:t>centered</w:t>
      </w:r>
      <w:proofErr w:type="spellEnd"/>
      <w:r w:rsidRPr="00050F4E">
        <w:rPr>
          <w:rFonts w:ascii="Times New Roman" w:hAnsi="Times New Roman" w:cs="Times New Roman"/>
        </w:rPr>
        <w:t xml:space="preserve"> at the observer’s 4D position x₄ᵒ:</w:t>
      </w:r>
    </w:p>
    <w:p w14:paraId="4A30D0C9" w14:textId="5E76858C" w:rsidR="00050F4E" w:rsidRPr="00050F4E" w:rsidRDefault="00050F4E" w:rsidP="00050F4E">
      <w:pPr>
        <w:ind w:firstLine="720"/>
        <w:jc w:val="both"/>
        <w:rPr>
          <w:rFonts w:ascii="Times New Roman" w:hAnsi="Times New Roman" w:cs="Times New Roman"/>
          <w:lang w:val="pt-BR"/>
        </w:rPr>
      </w:pPr>
      <w:r w:rsidRPr="00050F4E">
        <w:rPr>
          <w:rFonts w:ascii="Times New Roman" w:hAnsi="Times New Roman" w:cs="Times New Roman"/>
        </w:rPr>
        <w:t>Ψ</w:t>
      </w:r>
      <w:r w:rsidRPr="00050F4E">
        <w:rPr>
          <w:rFonts w:ascii="Times New Roman" w:hAnsi="Times New Roman" w:cs="Times New Roman"/>
          <w:lang w:val="pt-BR"/>
        </w:rPr>
        <w:t>(</w:t>
      </w:r>
      <w:proofErr w:type="spellStart"/>
      <w:r w:rsidRPr="00050F4E">
        <w:rPr>
          <w:rFonts w:ascii="Times New Roman" w:hAnsi="Times New Roman" w:cs="Times New Roman"/>
          <w:lang w:val="pt-BR"/>
        </w:rPr>
        <w:t>r_A</w:t>
      </w:r>
      <w:proofErr w:type="spellEnd"/>
      <w:r w:rsidRPr="00050F4E">
        <w:rPr>
          <w:rFonts w:ascii="Times New Roman" w:hAnsi="Times New Roman" w:cs="Times New Roman"/>
          <w:lang w:val="pt-BR"/>
        </w:rPr>
        <w:t xml:space="preserve">, </w:t>
      </w:r>
      <w:proofErr w:type="spellStart"/>
      <w:r w:rsidRPr="00050F4E">
        <w:rPr>
          <w:rFonts w:ascii="Times New Roman" w:hAnsi="Times New Roman" w:cs="Times New Roman"/>
          <w:lang w:val="pt-BR"/>
        </w:rPr>
        <w:t>r_B</w:t>
      </w:r>
      <w:proofErr w:type="spellEnd"/>
      <w:r w:rsidRPr="00050F4E">
        <w:rPr>
          <w:rFonts w:ascii="Times New Roman" w:hAnsi="Times New Roman" w:cs="Times New Roman"/>
          <w:lang w:val="pt-BR"/>
        </w:rPr>
        <w:t>) = ∫ W(x₄ − x₄</w:t>
      </w:r>
      <w:r w:rsidRPr="00050F4E">
        <w:rPr>
          <w:rFonts w:ascii="Times New Roman" w:hAnsi="Times New Roman" w:cs="Times New Roman"/>
        </w:rPr>
        <w:t>ᵒ</w:t>
      </w:r>
      <w:r w:rsidRPr="00050F4E">
        <w:rPr>
          <w:rFonts w:ascii="Times New Roman" w:hAnsi="Times New Roman" w:cs="Times New Roman"/>
          <w:lang w:val="pt-BR"/>
        </w:rPr>
        <w:t xml:space="preserve">) </w:t>
      </w:r>
      <w:r w:rsidRPr="00050F4E">
        <w:rPr>
          <w:rFonts w:ascii="Times New Roman" w:hAnsi="Times New Roman" w:cs="Times New Roman"/>
        </w:rPr>
        <w:t>Φ</w:t>
      </w:r>
      <w:r w:rsidRPr="00050F4E">
        <w:rPr>
          <w:rFonts w:ascii="Times New Roman" w:hAnsi="Times New Roman" w:cs="Times New Roman"/>
          <w:lang w:val="pt-BR"/>
        </w:rPr>
        <w:t>(</w:t>
      </w:r>
      <w:proofErr w:type="spellStart"/>
      <w:r w:rsidRPr="00050F4E">
        <w:rPr>
          <w:rFonts w:ascii="Times New Roman" w:hAnsi="Times New Roman" w:cs="Times New Roman"/>
          <w:lang w:val="pt-BR"/>
        </w:rPr>
        <w:t>r_A</w:t>
      </w:r>
      <w:proofErr w:type="spellEnd"/>
      <w:r w:rsidRPr="00050F4E">
        <w:rPr>
          <w:rFonts w:ascii="Times New Roman" w:hAnsi="Times New Roman" w:cs="Times New Roman"/>
          <w:lang w:val="pt-BR"/>
        </w:rPr>
        <w:t xml:space="preserve">, </w:t>
      </w:r>
      <w:proofErr w:type="spellStart"/>
      <w:r w:rsidRPr="00050F4E">
        <w:rPr>
          <w:rFonts w:ascii="Times New Roman" w:hAnsi="Times New Roman" w:cs="Times New Roman"/>
          <w:lang w:val="pt-BR"/>
        </w:rPr>
        <w:t>r_B</w:t>
      </w:r>
      <w:proofErr w:type="spellEnd"/>
      <w:r w:rsidRPr="00050F4E">
        <w:rPr>
          <w:rFonts w:ascii="Times New Roman" w:hAnsi="Times New Roman" w:cs="Times New Roman"/>
          <w:lang w:val="pt-BR"/>
        </w:rPr>
        <w:t xml:space="preserve">, x₄) </w:t>
      </w:r>
      <w:proofErr w:type="spellStart"/>
      <w:r w:rsidRPr="00050F4E">
        <w:rPr>
          <w:rFonts w:ascii="Times New Roman" w:hAnsi="Times New Roman" w:cs="Times New Roman"/>
          <w:lang w:val="pt-BR"/>
        </w:rPr>
        <w:t>dx</w:t>
      </w:r>
      <w:proofErr w:type="spellEnd"/>
      <w:r w:rsidRPr="00050F4E">
        <w:rPr>
          <w:rFonts w:ascii="Times New Roman" w:hAnsi="Times New Roman" w:cs="Times New Roman"/>
          <w:lang w:val="pt-BR"/>
        </w:rPr>
        <w:t>₄</w:t>
      </w:r>
    </w:p>
    <w:p w14:paraId="4DC679CC" w14:textId="0EE5FB18" w:rsidR="00050F4E" w:rsidRDefault="00022B8D" w:rsidP="00050F4E">
      <w:pPr>
        <w:jc w:val="both"/>
        <w:rPr>
          <w:rFonts w:ascii="Times New Roman" w:hAnsi="Times New Roman" w:cs="Times New Roman"/>
        </w:rPr>
      </w:pPr>
      <w:r w:rsidRPr="00022B8D">
        <w:rPr>
          <w:rFonts w:ascii="Times New Roman" w:hAnsi="Times New Roman" w:cs="Times New Roman"/>
        </w:rPr>
        <w:t>In the ideal measurement limit, W approaches a sharply peaked function corresponding to restoration of finite x₄ anchoring at the projection interface</w:t>
      </w:r>
      <w:r w:rsidR="00050F4E" w:rsidRPr="00050F4E">
        <w:rPr>
          <w:rFonts w:ascii="Times New Roman" w:hAnsi="Times New Roman" w:cs="Times New Roman"/>
        </w:rPr>
        <w:t>. Any non-</w:t>
      </w:r>
      <w:proofErr w:type="spellStart"/>
      <w:r w:rsidR="00050F4E" w:rsidRPr="00050F4E">
        <w:rPr>
          <w:rFonts w:ascii="Times New Roman" w:hAnsi="Times New Roman" w:cs="Times New Roman"/>
        </w:rPr>
        <w:t>factorisable</w:t>
      </w:r>
      <w:proofErr w:type="spellEnd"/>
      <w:r w:rsidR="00050F4E" w:rsidRPr="00050F4E">
        <w:rPr>
          <w:rFonts w:ascii="Times New Roman" w:hAnsi="Times New Roman" w:cs="Times New Roman"/>
        </w:rPr>
        <w:t xml:space="preserve"> structure in Φ is therefore inherited by Ψ, so violations of Bell-type inequalities reflect the non-separability of the underlying </w:t>
      </w:r>
      <w:r w:rsidR="006A42CF">
        <w:rPr>
          <w:rFonts w:ascii="Times New Roman" w:hAnsi="Times New Roman" w:cs="Times New Roman"/>
        </w:rPr>
        <w:t>4-dimensional</w:t>
      </w:r>
      <w:r w:rsidR="00050F4E" w:rsidRPr="00050F4E">
        <w:rPr>
          <w:rFonts w:ascii="Times New Roman" w:hAnsi="Times New Roman" w:cs="Times New Roman"/>
        </w:rPr>
        <w:t xml:space="preserve"> configuration rather than superluminal signalling, while relativistic causality remains preserved [</w:t>
      </w:r>
      <w:r w:rsidR="000A0315">
        <w:rPr>
          <w:rFonts w:ascii="Times New Roman" w:hAnsi="Times New Roman" w:cs="Times New Roman"/>
        </w:rPr>
        <w:t xml:space="preserve">13, </w:t>
      </w:r>
      <w:r w:rsidR="00050F4E" w:rsidRPr="00050F4E">
        <w:rPr>
          <w:rFonts w:ascii="Times New Roman" w:hAnsi="Times New Roman" w:cs="Times New Roman"/>
        </w:rPr>
        <w:t>14].</w:t>
      </w:r>
    </w:p>
    <w:p w14:paraId="2C0FBE56" w14:textId="11768BB6" w:rsidR="00AC0736" w:rsidRPr="00AC0736" w:rsidRDefault="00186F01" w:rsidP="00AC0736">
      <w:pPr>
        <w:pStyle w:val="Heading2"/>
      </w:pPr>
      <w:r w:rsidRPr="00186F01">
        <w:t>6.</w:t>
      </w:r>
      <w:r w:rsidR="00D755CD">
        <w:t>7</w:t>
      </w:r>
      <w:r w:rsidRPr="00186F01">
        <w:t xml:space="preserve"> Coherence as Availability Broadening</w:t>
      </w:r>
      <w:r>
        <w:t xml:space="preserve"> </w:t>
      </w:r>
      <w:r w:rsidR="00AC0736" w:rsidRPr="00AC0736">
        <w:t>and Coherent Systems</w:t>
      </w:r>
    </w:p>
    <w:p w14:paraId="296ABF0A"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Within PLG, quantum coherence is interpreted as a geometric consequence of controlled broadening of a system’s centre-of-mass availability distribution on the invariant four-dimensional Euclidean manifold M₄. This mechanism is distinct from relativistic orientation effects in the (x</w:t>
      </w:r>
      <w:r w:rsidRPr="0035285C">
        <w:rPr>
          <w:rFonts w:ascii="Cambria Math" w:hAnsi="Cambria Math" w:cs="Cambria Math"/>
        </w:rPr>
        <w:t>∥</w:t>
      </w:r>
      <w:r w:rsidRPr="0035285C">
        <w:rPr>
          <w:rFonts w:ascii="Times New Roman" w:hAnsi="Times New Roman" w:cs="Times New Roman"/>
        </w:rPr>
        <w:t>, x₄) plane and does not require proximity to the projection-limit boundary. It reflects how rest mass and environmental interaction constrain the admissible spatial and x₄-extent of the normalized availability field.</w:t>
      </w:r>
    </w:p>
    <w:p w14:paraId="7F2FA2FE" w14:textId="7FD82CCB" w:rsidR="0035285C" w:rsidRPr="0035285C" w:rsidRDefault="0035285C" w:rsidP="0035285C">
      <w:pPr>
        <w:spacing w:after="0"/>
        <w:jc w:val="both"/>
        <w:rPr>
          <w:rFonts w:ascii="Times New Roman" w:hAnsi="Times New Roman" w:cs="Times New Roman"/>
        </w:rPr>
      </w:pPr>
      <w:r w:rsidRPr="0035285C">
        <w:rPr>
          <w:rFonts w:ascii="Times New Roman" w:hAnsi="Times New Roman" w:cs="Times New Roman"/>
        </w:rPr>
        <w:t>Let Φ(r, x₄) denote the scalar availability density defined over M₄, satisfying</w:t>
      </w:r>
      <w:r>
        <w:rPr>
          <w:rFonts w:ascii="Times New Roman" w:hAnsi="Times New Roman" w:cs="Times New Roman"/>
        </w:rPr>
        <w:t>:</w:t>
      </w:r>
    </w:p>
    <w:p w14:paraId="618CEB99" w14:textId="233B621B" w:rsidR="0035285C" w:rsidRPr="0035285C" w:rsidRDefault="0035285C" w:rsidP="0035285C">
      <w:pPr>
        <w:ind w:firstLine="720"/>
        <w:jc w:val="both"/>
        <w:rPr>
          <w:rFonts w:ascii="Times New Roman" w:hAnsi="Times New Roman" w:cs="Times New Roman"/>
        </w:rPr>
      </w:pPr>
      <w:r w:rsidRPr="0035285C">
        <w:rPr>
          <w:rFonts w:ascii="Times New Roman" w:hAnsi="Times New Roman" w:cs="Times New Roman"/>
        </w:rPr>
        <w:t xml:space="preserve">∫_{M₄} Φ(r, x₄) </w:t>
      </w:r>
      <w:proofErr w:type="spellStart"/>
      <w:r w:rsidRPr="0035285C">
        <w:rPr>
          <w:rFonts w:ascii="Times New Roman" w:hAnsi="Times New Roman" w:cs="Times New Roman"/>
        </w:rPr>
        <w:t>dV</w:t>
      </w:r>
      <w:proofErr w:type="spellEnd"/>
      <w:r w:rsidRPr="0035285C">
        <w:rPr>
          <w:rFonts w:ascii="Times New Roman" w:hAnsi="Times New Roman" w:cs="Times New Roman"/>
        </w:rPr>
        <w:t>₄ = 1</w:t>
      </w:r>
    </w:p>
    <w:p w14:paraId="76373A33"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 xml:space="preserve">where </w:t>
      </w:r>
      <w:proofErr w:type="spellStart"/>
      <w:r w:rsidRPr="0035285C">
        <w:rPr>
          <w:rFonts w:ascii="Times New Roman" w:hAnsi="Times New Roman" w:cs="Times New Roman"/>
        </w:rPr>
        <w:t>dV</w:t>
      </w:r>
      <w:proofErr w:type="spellEnd"/>
      <w:r w:rsidRPr="0035285C">
        <w:rPr>
          <w:rFonts w:ascii="Times New Roman" w:hAnsi="Times New Roman" w:cs="Times New Roman"/>
        </w:rPr>
        <w:t>₄ is the invariant Euclidean four-volume element.</w:t>
      </w:r>
    </w:p>
    <w:p w14:paraId="3FC0ACC4" w14:textId="6B8938F2" w:rsidR="0035285C" w:rsidRPr="0035285C" w:rsidRDefault="0035285C" w:rsidP="0035285C">
      <w:pPr>
        <w:spacing w:after="0"/>
        <w:jc w:val="both"/>
        <w:rPr>
          <w:rFonts w:ascii="Times New Roman" w:hAnsi="Times New Roman" w:cs="Times New Roman"/>
        </w:rPr>
      </w:pPr>
      <w:r w:rsidRPr="0035285C">
        <w:rPr>
          <w:rFonts w:ascii="Times New Roman" w:hAnsi="Times New Roman" w:cs="Times New Roman"/>
        </w:rPr>
        <w:t>For a sufficiently isolated system, the centre-of-mass component of Φ need not be sharply localized in the Reality Plane. Instead, the availability distribution may occupy a broader region of M₄ while preserving normalization. This may be represented by a one-parameter family of distributions</w:t>
      </w:r>
      <w:r>
        <w:rPr>
          <w:rFonts w:ascii="Times New Roman" w:hAnsi="Times New Roman" w:cs="Times New Roman"/>
        </w:rPr>
        <w:t>:</w:t>
      </w:r>
    </w:p>
    <w:p w14:paraId="5DB0A6F4" w14:textId="669E8CB7" w:rsidR="0035285C" w:rsidRPr="0035285C" w:rsidRDefault="0035285C" w:rsidP="0035285C">
      <w:pPr>
        <w:ind w:firstLine="720"/>
        <w:jc w:val="both"/>
        <w:rPr>
          <w:rFonts w:ascii="Times New Roman" w:hAnsi="Times New Roman" w:cs="Times New Roman"/>
        </w:rPr>
      </w:pPr>
      <w:r w:rsidRPr="0035285C">
        <w:rPr>
          <w:rFonts w:ascii="Times New Roman" w:hAnsi="Times New Roman" w:cs="Times New Roman"/>
        </w:rPr>
        <w:t xml:space="preserve">Φ(r, x₄) → </w:t>
      </w:r>
      <w:proofErr w:type="spellStart"/>
      <w:r w:rsidRPr="0035285C">
        <w:rPr>
          <w:rFonts w:ascii="Times New Roman" w:hAnsi="Times New Roman" w:cs="Times New Roman"/>
        </w:rPr>
        <w:t>Φ_λ</w:t>
      </w:r>
      <w:proofErr w:type="spellEnd"/>
      <w:r w:rsidRPr="0035285C">
        <w:rPr>
          <w:rFonts w:ascii="Times New Roman" w:hAnsi="Times New Roman" w:cs="Times New Roman"/>
        </w:rPr>
        <w:t>(r, x₄)</w:t>
      </w:r>
    </w:p>
    <w:p w14:paraId="5D01D0FB"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where λ characterizes the effective width of the centre-of-mass availability distribution. The parameter λ depends on rest mass and environmental coupling strength.</w:t>
      </w:r>
    </w:p>
    <w:p w14:paraId="29BB0E11"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 xml:space="preserve">Importantly, this broadening does not modify the underlying manifold, metric, or four-volume element. No geometric rescaling of M₄ occurs. Rather, </w:t>
      </w:r>
      <w:proofErr w:type="spellStart"/>
      <w:r w:rsidRPr="0035285C">
        <w:rPr>
          <w:rFonts w:ascii="Times New Roman" w:hAnsi="Times New Roman" w:cs="Times New Roman"/>
        </w:rPr>
        <w:t>Φ_λ</w:t>
      </w:r>
      <w:proofErr w:type="spellEnd"/>
      <w:r w:rsidRPr="0035285C">
        <w:rPr>
          <w:rFonts w:ascii="Times New Roman" w:hAnsi="Times New Roman" w:cs="Times New Roman"/>
        </w:rPr>
        <w:t xml:space="preserve"> represents redistribution of the conserved availability density over a larger region of the invariant 4-dimensional geometry.</w:t>
      </w:r>
    </w:p>
    <w:p w14:paraId="081776B3"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Interference arises when a broadened centre-of-mass distribution overlaps multiple spatially separated regions prior to interaction. Because projection onto the Reality Plane is linear, these overlapping contributions produce coherent superposition in the projected amplitude Ψ. Detection corresponds to localized coupling at the projection interface, selecting a single interaction site consistent with the normalized availability distribution.</w:t>
      </w:r>
    </w:p>
    <w:p w14:paraId="07316050" w14:textId="77777777" w:rsidR="0035285C" w:rsidRPr="0035285C" w:rsidRDefault="0035285C" w:rsidP="0035285C">
      <w:pPr>
        <w:jc w:val="both"/>
        <w:rPr>
          <w:rFonts w:ascii="Times New Roman" w:hAnsi="Times New Roman" w:cs="Times New Roman"/>
        </w:rPr>
      </w:pPr>
      <w:r w:rsidRPr="0035285C">
        <w:rPr>
          <w:rFonts w:ascii="Times New Roman" w:hAnsi="Times New Roman" w:cs="Times New Roman"/>
        </w:rPr>
        <w:t xml:space="preserve">The admissible magnitude of availability broadening is limited by rest mass and environmental interaction. Systems with small rest mass and weak environmental coupling sustain larger spatial extension of </w:t>
      </w:r>
      <w:proofErr w:type="spellStart"/>
      <w:r w:rsidRPr="0035285C">
        <w:rPr>
          <w:rFonts w:ascii="Times New Roman" w:hAnsi="Times New Roman" w:cs="Times New Roman"/>
        </w:rPr>
        <w:t>Φ_λ</w:t>
      </w:r>
      <w:proofErr w:type="spellEnd"/>
      <w:r w:rsidRPr="0035285C">
        <w:rPr>
          <w:rFonts w:ascii="Times New Roman" w:hAnsi="Times New Roman" w:cs="Times New Roman"/>
        </w:rPr>
        <w:t xml:space="preserve"> under isolation, whereas strong interaction rapidly constrains the distribution and enforces effective localization. Quantum and classical behaviour therefore represent limiting regimes of the same underlying geometric structure.</w:t>
      </w:r>
    </w:p>
    <w:p w14:paraId="0C4881C8" w14:textId="77777777" w:rsidR="0035285C" w:rsidRDefault="0035285C" w:rsidP="0035285C">
      <w:pPr>
        <w:jc w:val="both"/>
        <w:rPr>
          <w:rFonts w:ascii="Times New Roman" w:hAnsi="Times New Roman" w:cs="Times New Roman"/>
        </w:rPr>
      </w:pPr>
      <w:r w:rsidRPr="0035285C">
        <w:rPr>
          <w:rFonts w:ascii="Times New Roman" w:hAnsi="Times New Roman" w:cs="Times New Roman"/>
        </w:rPr>
        <w:t>Velocity alters the orientation of the expansion vector in the (x</w:t>
      </w:r>
      <w:r w:rsidRPr="0035285C">
        <w:rPr>
          <w:rFonts w:ascii="Cambria Math" w:hAnsi="Cambria Math" w:cs="Cambria Math"/>
        </w:rPr>
        <w:t>∥</w:t>
      </w:r>
      <w:r w:rsidRPr="0035285C">
        <w:rPr>
          <w:rFonts w:ascii="Times New Roman" w:hAnsi="Times New Roman" w:cs="Times New Roman"/>
        </w:rPr>
        <w:t>, x₄) plane through norm-preserving redistribution, whereas coherence reflects controlled broadening of the centre-of-mass availability distribution within the invariant manifold. These mechanisms are distinct consequences of the conserved four-dimensional expansion structure.</w:t>
      </w:r>
    </w:p>
    <w:p w14:paraId="4D25B289" w14:textId="57AD2CC0" w:rsidR="00EE3DB4" w:rsidRPr="00EE3DB4" w:rsidRDefault="00EE3DB4" w:rsidP="006D1AFD">
      <w:pPr>
        <w:pStyle w:val="Heading2"/>
      </w:pPr>
      <w:r w:rsidRPr="00EE3DB4">
        <w:t>6.</w:t>
      </w:r>
      <w:r w:rsidR="00D755CD">
        <w:t>8</w:t>
      </w:r>
      <w:r w:rsidRPr="00EE3DB4">
        <w:t xml:space="preserve"> </w:t>
      </w:r>
      <w:r w:rsidR="00F36693" w:rsidRPr="00F36693">
        <w:t>Invariant Dynamics of the Availability Field</w:t>
      </w:r>
    </w:p>
    <w:p w14:paraId="6ABAB8DC"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Writing Φ(r, x₄) = ψ(r, t) with emergent time defined by t := x₄ / C₄, and using ∂²/∂x₄² = (1/C₄²) ∂²/∂t², the invariant equation in vacuum (ε → C₄) becomes:</w:t>
      </w:r>
    </w:p>
    <w:p w14:paraId="1852D047" w14:textId="77777777" w:rsidR="00565504" w:rsidRPr="00565504" w:rsidRDefault="00565504" w:rsidP="00565504">
      <w:pPr>
        <w:ind w:firstLine="720"/>
        <w:jc w:val="both"/>
        <w:rPr>
          <w:rFonts w:ascii="Times New Roman" w:hAnsi="Times New Roman" w:cs="Times New Roman"/>
        </w:rPr>
      </w:pPr>
      <w:r w:rsidRPr="00565504">
        <w:rPr>
          <w:rFonts w:ascii="Cambria Math" w:hAnsi="Cambria Math" w:cs="Cambria Math"/>
        </w:rPr>
        <w:t>∇</w:t>
      </w:r>
      <w:r w:rsidRPr="00565504">
        <w:rPr>
          <w:rFonts w:ascii="Times New Roman" w:hAnsi="Times New Roman" w:cs="Times New Roman"/>
        </w:rPr>
        <w:t>₃²ψ + (1/C₄²) ∂²ψ/∂t² + κ²ψ = 0</w:t>
      </w:r>
    </w:p>
    <w:p w14:paraId="3C0CED0A"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To obtain an effective first-order evolution, introduce a carrier-envelope decomposition:</w:t>
      </w:r>
    </w:p>
    <w:p w14:paraId="56EE69C7" w14:textId="77777777" w:rsidR="00565504" w:rsidRPr="00565504" w:rsidRDefault="00565504" w:rsidP="00565504">
      <w:pPr>
        <w:spacing w:after="0"/>
        <w:ind w:firstLine="720"/>
        <w:jc w:val="both"/>
        <w:rPr>
          <w:rFonts w:ascii="Times New Roman" w:hAnsi="Times New Roman" w:cs="Times New Roman"/>
          <w:lang w:val="fr-FR"/>
        </w:rPr>
      </w:pPr>
      <w:r w:rsidRPr="00565504">
        <w:rPr>
          <w:rFonts w:ascii="Times New Roman" w:hAnsi="Times New Roman" w:cs="Times New Roman"/>
        </w:rPr>
        <w:t>ψ</w:t>
      </w:r>
      <w:r w:rsidRPr="00565504">
        <w:rPr>
          <w:rFonts w:ascii="Times New Roman" w:hAnsi="Times New Roman" w:cs="Times New Roman"/>
          <w:lang w:val="fr-FR"/>
        </w:rPr>
        <w:t xml:space="preserve">(r, t) = </w:t>
      </w:r>
      <w:r w:rsidRPr="00565504">
        <w:rPr>
          <w:rFonts w:ascii="Times New Roman" w:hAnsi="Times New Roman" w:cs="Times New Roman"/>
        </w:rPr>
        <w:t>χ</w:t>
      </w:r>
      <w:r w:rsidRPr="00565504">
        <w:rPr>
          <w:rFonts w:ascii="Times New Roman" w:hAnsi="Times New Roman" w:cs="Times New Roman"/>
          <w:lang w:val="fr-FR"/>
        </w:rPr>
        <w:t xml:space="preserve">(r, t) </w:t>
      </w:r>
      <w:proofErr w:type="spellStart"/>
      <w:r w:rsidRPr="00565504">
        <w:rPr>
          <w:rFonts w:ascii="Times New Roman" w:hAnsi="Times New Roman" w:cs="Times New Roman"/>
          <w:lang w:val="fr-FR"/>
        </w:rPr>
        <w:t>exp</w:t>
      </w:r>
      <w:proofErr w:type="spellEnd"/>
      <w:r w:rsidRPr="00565504">
        <w:rPr>
          <w:rFonts w:ascii="Times New Roman" w:hAnsi="Times New Roman" w:cs="Times New Roman"/>
          <w:lang w:val="fr-FR"/>
        </w:rPr>
        <w:t>(i</w:t>
      </w:r>
      <w:r w:rsidRPr="00565504">
        <w:rPr>
          <w:rFonts w:ascii="Times New Roman" w:hAnsi="Times New Roman" w:cs="Times New Roman"/>
        </w:rPr>
        <w:t>ω</w:t>
      </w:r>
      <w:r w:rsidRPr="00565504">
        <w:rPr>
          <w:rFonts w:ascii="Times New Roman" w:hAnsi="Times New Roman" w:cs="Times New Roman"/>
          <w:lang w:val="fr-FR"/>
        </w:rPr>
        <w:t>t)</w:t>
      </w:r>
    </w:p>
    <w:p w14:paraId="135CECA2"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where ω is a characteristic oscillation scale associated with the configuration. Substituting and expanding gives:</w:t>
      </w:r>
    </w:p>
    <w:p w14:paraId="6EEEC78F" w14:textId="77777777" w:rsidR="00565504" w:rsidRPr="00565504" w:rsidRDefault="00565504" w:rsidP="00565504">
      <w:pPr>
        <w:ind w:firstLine="720"/>
        <w:jc w:val="both"/>
        <w:rPr>
          <w:rFonts w:ascii="Times New Roman" w:hAnsi="Times New Roman" w:cs="Times New Roman"/>
        </w:rPr>
      </w:pPr>
      <w:r w:rsidRPr="00565504">
        <w:rPr>
          <w:rFonts w:ascii="Times New Roman" w:hAnsi="Times New Roman" w:cs="Times New Roman"/>
        </w:rPr>
        <w:t>∂²ψ/∂t² = exp(</w:t>
      </w:r>
      <w:proofErr w:type="spellStart"/>
      <w:r w:rsidRPr="00565504">
        <w:rPr>
          <w:rFonts w:ascii="Times New Roman" w:hAnsi="Times New Roman" w:cs="Times New Roman"/>
        </w:rPr>
        <w:t>iωt</w:t>
      </w:r>
      <w:proofErr w:type="spellEnd"/>
      <w:r w:rsidRPr="00565504">
        <w:rPr>
          <w:rFonts w:ascii="Times New Roman" w:hAnsi="Times New Roman" w:cs="Times New Roman"/>
        </w:rPr>
        <w:t>) [ ∂²χ/∂t² + 2iω ∂χ/∂t − ω²χ ]</w:t>
      </w:r>
    </w:p>
    <w:p w14:paraId="596AA871"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 xml:space="preserve">Under the slowly varying envelope approximation, where |∂²χ/∂t²| </w:t>
      </w:r>
      <w:r w:rsidRPr="00565504">
        <w:rPr>
          <w:rFonts w:ascii="Cambria Math" w:hAnsi="Cambria Math" w:cs="Cambria Math"/>
        </w:rPr>
        <w:t>≪</w:t>
      </w:r>
      <w:r w:rsidRPr="00565504">
        <w:rPr>
          <w:rFonts w:ascii="Times New Roman" w:hAnsi="Times New Roman" w:cs="Times New Roman"/>
        </w:rPr>
        <w:t xml:space="preserve"> ω |∂χ/∂t|, the second-order term may be neglected. Substituting into the invariant equation and cancelling the common phase factor yields:</w:t>
      </w:r>
    </w:p>
    <w:p w14:paraId="6BCCDBAD" w14:textId="77777777" w:rsidR="00565504" w:rsidRPr="00565504" w:rsidRDefault="00565504" w:rsidP="00565504">
      <w:pPr>
        <w:spacing w:after="0"/>
        <w:ind w:firstLine="720"/>
        <w:jc w:val="both"/>
        <w:rPr>
          <w:rFonts w:ascii="Times New Roman" w:hAnsi="Times New Roman" w:cs="Times New Roman"/>
        </w:rPr>
      </w:pPr>
      <w:r w:rsidRPr="00565504">
        <w:rPr>
          <w:rFonts w:ascii="Cambria Math" w:hAnsi="Cambria Math" w:cs="Cambria Math"/>
        </w:rPr>
        <w:t>∇</w:t>
      </w:r>
      <w:r w:rsidRPr="00565504">
        <w:rPr>
          <w:rFonts w:ascii="Times New Roman" w:hAnsi="Times New Roman" w:cs="Times New Roman"/>
        </w:rPr>
        <w:t>₃²χ + (2iω/C₄²) ∂χ/∂t + (κ² − ω²/C₄²) χ = 0</w:t>
      </w:r>
    </w:p>
    <w:p w14:paraId="2D1479E1"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Rearranging gives:</w:t>
      </w:r>
    </w:p>
    <w:p w14:paraId="0594744C" w14:textId="77777777" w:rsidR="00565504" w:rsidRPr="00565504" w:rsidRDefault="00565504" w:rsidP="00565504">
      <w:pPr>
        <w:ind w:firstLine="720"/>
        <w:jc w:val="both"/>
        <w:rPr>
          <w:rFonts w:ascii="Times New Roman" w:hAnsi="Times New Roman" w:cs="Times New Roman"/>
        </w:rPr>
      </w:pPr>
      <w:proofErr w:type="spellStart"/>
      <w:r w:rsidRPr="00565504">
        <w:rPr>
          <w:rFonts w:ascii="Times New Roman" w:hAnsi="Times New Roman" w:cs="Times New Roman"/>
        </w:rPr>
        <w:t>i</w:t>
      </w:r>
      <w:proofErr w:type="spellEnd"/>
      <w:r w:rsidRPr="00565504">
        <w:rPr>
          <w:rFonts w:ascii="Times New Roman" w:hAnsi="Times New Roman" w:cs="Times New Roman"/>
        </w:rPr>
        <w:t xml:space="preserve"> ∂χ/∂t = − (C₄² / 2ω) </w:t>
      </w:r>
      <w:r w:rsidRPr="00565504">
        <w:rPr>
          <w:rFonts w:ascii="Cambria Math" w:hAnsi="Cambria Math" w:cs="Cambria Math"/>
        </w:rPr>
        <w:t>∇</w:t>
      </w:r>
      <w:r w:rsidRPr="00565504">
        <w:rPr>
          <w:rFonts w:ascii="Times New Roman" w:hAnsi="Times New Roman" w:cs="Times New Roman"/>
        </w:rPr>
        <w:t>₃²χ + (1/2ω)(ω²/C₄² − κ²) χ</w:t>
      </w:r>
    </w:p>
    <w:p w14:paraId="2B3E4CFF"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In the weak-field regime, spatial variation of ε(x) introduces an effective potential through the relation:</w:t>
      </w:r>
    </w:p>
    <w:p w14:paraId="101C8DC2" w14:textId="77777777" w:rsidR="00565504" w:rsidRPr="00565504" w:rsidRDefault="00565504" w:rsidP="00565504">
      <w:pPr>
        <w:spacing w:after="0"/>
        <w:ind w:firstLine="720"/>
        <w:jc w:val="both"/>
        <w:rPr>
          <w:rFonts w:ascii="Times New Roman" w:hAnsi="Times New Roman" w:cs="Times New Roman"/>
          <w:lang w:val="pt-BR"/>
        </w:rPr>
      </w:pPr>
      <w:proofErr w:type="spellStart"/>
      <w:r w:rsidRPr="00565504">
        <w:rPr>
          <w:rFonts w:ascii="Times New Roman" w:hAnsi="Times New Roman" w:cs="Times New Roman"/>
          <w:lang w:val="pt-BR"/>
        </w:rPr>
        <w:t>V_eff</w:t>
      </w:r>
      <w:proofErr w:type="spellEnd"/>
      <w:r w:rsidRPr="00565504">
        <w:rPr>
          <w:rFonts w:ascii="Times New Roman" w:hAnsi="Times New Roman" w:cs="Times New Roman"/>
          <w:lang w:val="pt-BR"/>
        </w:rPr>
        <w:t>(r) = (</w:t>
      </w:r>
      <w:r w:rsidRPr="00565504">
        <w:rPr>
          <w:rFonts w:ascii="Times New Roman" w:hAnsi="Times New Roman" w:cs="Times New Roman"/>
        </w:rPr>
        <w:t>κ</w:t>
      </w:r>
      <w:r w:rsidRPr="00565504">
        <w:rPr>
          <w:rFonts w:ascii="Times New Roman" w:hAnsi="Times New Roman" w:cs="Times New Roman"/>
          <w:lang w:val="pt-BR"/>
        </w:rPr>
        <w:t xml:space="preserve">²/C₄²) </w:t>
      </w:r>
      <w:proofErr w:type="spellStart"/>
      <w:r w:rsidRPr="00565504">
        <w:rPr>
          <w:rFonts w:ascii="Times New Roman" w:hAnsi="Times New Roman" w:cs="Times New Roman"/>
        </w:rPr>
        <w:t>δε</w:t>
      </w:r>
      <w:proofErr w:type="spellEnd"/>
      <w:r w:rsidRPr="00565504">
        <w:rPr>
          <w:rFonts w:ascii="Times New Roman" w:hAnsi="Times New Roman" w:cs="Times New Roman"/>
          <w:lang w:val="pt-BR"/>
        </w:rPr>
        <w:t>(r)</w:t>
      </w:r>
    </w:p>
    <w:p w14:paraId="32770B04" w14:textId="7777777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so that the evolution equation becomes:</w:t>
      </w:r>
    </w:p>
    <w:p w14:paraId="1BEE737E" w14:textId="77777777" w:rsidR="00565504" w:rsidRPr="00565504" w:rsidRDefault="00565504" w:rsidP="00565504">
      <w:pPr>
        <w:ind w:firstLine="720"/>
        <w:jc w:val="both"/>
        <w:rPr>
          <w:rFonts w:ascii="Times New Roman" w:hAnsi="Times New Roman" w:cs="Times New Roman"/>
        </w:rPr>
      </w:pPr>
      <w:proofErr w:type="spellStart"/>
      <w:r w:rsidRPr="00565504">
        <w:rPr>
          <w:rFonts w:ascii="Times New Roman" w:hAnsi="Times New Roman" w:cs="Times New Roman"/>
        </w:rPr>
        <w:t>i</w:t>
      </w:r>
      <w:proofErr w:type="spellEnd"/>
      <w:r w:rsidRPr="00565504">
        <w:rPr>
          <w:rFonts w:ascii="Times New Roman" w:hAnsi="Times New Roman" w:cs="Times New Roman"/>
        </w:rPr>
        <w:t xml:space="preserve"> ∂χ/∂t = − (C₄² / 2ω) </w:t>
      </w:r>
      <w:r w:rsidRPr="00565504">
        <w:rPr>
          <w:rFonts w:ascii="Cambria Math" w:hAnsi="Cambria Math" w:cs="Cambria Math"/>
        </w:rPr>
        <w:t>∇</w:t>
      </w:r>
      <w:r w:rsidRPr="00565504">
        <w:rPr>
          <w:rFonts w:ascii="Times New Roman" w:hAnsi="Times New Roman" w:cs="Times New Roman"/>
        </w:rPr>
        <w:t xml:space="preserve">₃²χ + </w:t>
      </w:r>
      <w:proofErr w:type="spellStart"/>
      <w:r w:rsidRPr="00565504">
        <w:rPr>
          <w:rFonts w:ascii="Times New Roman" w:hAnsi="Times New Roman" w:cs="Times New Roman"/>
        </w:rPr>
        <w:t>V_eff</w:t>
      </w:r>
      <w:proofErr w:type="spellEnd"/>
      <w:r w:rsidRPr="00565504">
        <w:rPr>
          <w:rFonts w:ascii="Times New Roman" w:hAnsi="Times New Roman" w:cs="Times New Roman"/>
        </w:rPr>
        <w:t>(r) χ</w:t>
      </w:r>
    </w:p>
    <w:p w14:paraId="25D176DA" w14:textId="647D05F7" w:rsidR="00565504" w:rsidRPr="00565504" w:rsidRDefault="00565504" w:rsidP="00565504">
      <w:pPr>
        <w:spacing w:after="0"/>
        <w:jc w:val="both"/>
        <w:rPr>
          <w:rFonts w:ascii="Times New Roman" w:hAnsi="Times New Roman" w:cs="Times New Roman"/>
        </w:rPr>
      </w:pPr>
      <w:r w:rsidRPr="00565504">
        <w:rPr>
          <w:rFonts w:ascii="Times New Roman" w:hAnsi="Times New Roman" w:cs="Times New Roman"/>
        </w:rPr>
        <w:t xml:space="preserve">Identifying the coefficient C₄² / 2ω </w:t>
      </w:r>
      <w:r w:rsidR="003C6ED2" w:rsidRPr="003C6ED2">
        <w:rPr>
          <w:rFonts w:ascii="Times New Roman" w:hAnsi="Times New Roman" w:cs="Times New Roman"/>
        </w:rPr>
        <w:t xml:space="preserve">with ω associated with rest-energy via E = </w:t>
      </w:r>
      <w:proofErr w:type="spellStart"/>
      <w:r w:rsidR="003C6ED2" w:rsidRPr="003C6ED2">
        <w:rPr>
          <w:rFonts w:ascii="Times New Roman" w:hAnsi="Times New Roman" w:cs="Times New Roman"/>
        </w:rPr>
        <w:t>ℏω</w:t>
      </w:r>
      <w:proofErr w:type="spellEnd"/>
      <w:r w:rsidR="003C6ED2">
        <w:rPr>
          <w:rFonts w:ascii="Times New Roman" w:hAnsi="Times New Roman" w:cs="Times New Roman"/>
        </w:rPr>
        <w:t xml:space="preserve"> </w:t>
      </w:r>
      <w:r w:rsidRPr="00565504">
        <w:rPr>
          <w:rFonts w:ascii="Times New Roman" w:hAnsi="Times New Roman" w:cs="Times New Roman"/>
        </w:rPr>
        <w:t>recovers the standard Schrödinger equation:</w:t>
      </w:r>
    </w:p>
    <w:p w14:paraId="6FC94702" w14:textId="77777777" w:rsidR="00565504" w:rsidRPr="00565504" w:rsidRDefault="00565504" w:rsidP="00565504">
      <w:pPr>
        <w:ind w:firstLine="720"/>
        <w:jc w:val="both"/>
        <w:rPr>
          <w:rFonts w:ascii="Times New Roman" w:hAnsi="Times New Roman" w:cs="Times New Roman"/>
        </w:rPr>
      </w:pPr>
      <w:proofErr w:type="spellStart"/>
      <w:r w:rsidRPr="00565504">
        <w:rPr>
          <w:rFonts w:ascii="Times New Roman" w:hAnsi="Times New Roman" w:cs="Times New Roman"/>
        </w:rPr>
        <w:t>iℏ</w:t>
      </w:r>
      <w:proofErr w:type="spellEnd"/>
      <w:r w:rsidRPr="00565504">
        <w:rPr>
          <w:rFonts w:ascii="Times New Roman" w:hAnsi="Times New Roman" w:cs="Times New Roman"/>
        </w:rPr>
        <w:t xml:space="preserve"> ∂χ/∂t = − (ℏ² / 2m) </w:t>
      </w:r>
      <w:r w:rsidRPr="00565504">
        <w:rPr>
          <w:rFonts w:ascii="Cambria Math" w:hAnsi="Cambria Math" w:cs="Cambria Math"/>
        </w:rPr>
        <w:t>∇</w:t>
      </w:r>
      <w:r w:rsidRPr="00565504">
        <w:rPr>
          <w:rFonts w:ascii="Times New Roman" w:hAnsi="Times New Roman" w:cs="Times New Roman"/>
        </w:rPr>
        <w:t xml:space="preserve">₃²χ + </w:t>
      </w:r>
      <w:proofErr w:type="spellStart"/>
      <w:r w:rsidRPr="00565504">
        <w:rPr>
          <w:rFonts w:ascii="Times New Roman" w:hAnsi="Times New Roman" w:cs="Times New Roman"/>
        </w:rPr>
        <w:t>V_eff</w:t>
      </w:r>
      <w:proofErr w:type="spellEnd"/>
      <w:r w:rsidRPr="00565504">
        <w:rPr>
          <w:rFonts w:ascii="Times New Roman" w:hAnsi="Times New Roman" w:cs="Times New Roman"/>
        </w:rPr>
        <w:t xml:space="preserve"> χ</w:t>
      </w:r>
    </w:p>
    <w:p w14:paraId="17B61250" w14:textId="77777777" w:rsidR="00565504" w:rsidRPr="00565504" w:rsidRDefault="00565504" w:rsidP="00565504">
      <w:pPr>
        <w:jc w:val="both"/>
        <w:rPr>
          <w:rFonts w:ascii="Times New Roman" w:hAnsi="Times New Roman" w:cs="Times New Roman"/>
        </w:rPr>
      </w:pPr>
      <w:r w:rsidRPr="00565504">
        <w:rPr>
          <w:rFonts w:ascii="Times New Roman" w:hAnsi="Times New Roman" w:cs="Times New Roman"/>
        </w:rPr>
        <w:t>In this interpretation, the carrier frequency ω corresponds to an intrinsic oscillation scale of the configuration associated with its rest-energy content, while κ encodes the intrinsic matter scale modulated by the local expansion field ε(x). The Schrödinger equation therefore arises as an emergent first-order approximation to the underlying invariant 4-dimensional dynamics, rather than as a fundamental postulate.</w:t>
      </w:r>
    </w:p>
    <w:p w14:paraId="50EA709C" w14:textId="2E7A5D0F" w:rsidR="00874D58" w:rsidRPr="00874D58" w:rsidRDefault="000622F8" w:rsidP="00391ECF">
      <w:pPr>
        <w:pStyle w:val="Heading2"/>
      </w:pPr>
      <w:r>
        <w:t>6.</w:t>
      </w:r>
      <w:r w:rsidR="00D755CD">
        <w:t>9</w:t>
      </w:r>
      <w:r>
        <w:t xml:space="preserve"> </w:t>
      </w:r>
      <w:r w:rsidR="00874D58" w:rsidRPr="00874D58">
        <w:t>Mass and the Projection-Limit Boundary</w:t>
      </w:r>
    </w:p>
    <w:p w14:paraId="32AA2BF1" w14:textId="77777777" w:rsidR="000622F8" w:rsidRDefault="00874D58" w:rsidP="0035285C">
      <w:pPr>
        <w:jc w:val="both"/>
        <w:rPr>
          <w:rFonts w:ascii="Times New Roman" w:hAnsi="Times New Roman" w:cs="Times New Roman"/>
        </w:rPr>
      </w:pPr>
      <w:r w:rsidRPr="00874D58">
        <w:rPr>
          <w:rFonts w:ascii="Times New Roman" w:hAnsi="Times New Roman" w:cs="Times New Roman"/>
        </w:rPr>
        <w:t xml:space="preserve">Within PLG, rest mass corresponds to the degree of anchoring of the availability distribution along x₄. Massive configurations sustain finite progression component u₄ and therefore admit solutions for Φ that remain locally concentrated relative to the projection interface. As rest mass decreases, this anchoring weakens, permitting broader support of Φ over the invariant manifold M₄ while preserving normalization ∫_{M₄} Φ </w:t>
      </w:r>
      <w:proofErr w:type="spellStart"/>
      <w:r w:rsidRPr="00874D58">
        <w:rPr>
          <w:rFonts w:ascii="Times New Roman" w:hAnsi="Times New Roman" w:cs="Times New Roman"/>
        </w:rPr>
        <w:t>dV</w:t>
      </w:r>
      <w:proofErr w:type="spellEnd"/>
      <w:r w:rsidRPr="00874D58">
        <w:rPr>
          <w:rFonts w:ascii="Times New Roman" w:hAnsi="Times New Roman" w:cs="Times New Roman"/>
        </w:rPr>
        <w:t xml:space="preserve">₄ = 1. </w:t>
      </w:r>
    </w:p>
    <w:p w14:paraId="0CAF0CBA" w14:textId="77777777" w:rsidR="000622F8" w:rsidRDefault="00C75338" w:rsidP="000622F8">
      <w:pPr>
        <w:spacing w:after="0"/>
        <w:jc w:val="both"/>
        <w:rPr>
          <w:rFonts w:ascii="Times New Roman" w:hAnsi="Times New Roman" w:cs="Times New Roman"/>
        </w:rPr>
      </w:pPr>
      <w:r w:rsidRPr="00C75338">
        <w:rPr>
          <w:rFonts w:ascii="Times New Roman" w:hAnsi="Times New Roman" w:cs="Times New Roman"/>
        </w:rPr>
        <w:t>In the limit</w:t>
      </w:r>
      <w:r w:rsidR="000622F8">
        <w:rPr>
          <w:rFonts w:ascii="Times New Roman" w:hAnsi="Times New Roman" w:cs="Times New Roman"/>
        </w:rPr>
        <w:t>:</w:t>
      </w:r>
    </w:p>
    <w:p w14:paraId="38BB5AA4" w14:textId="77777777" w:rsidR="000622F8" w:rsidRDefault="00C75338" w:rsidP="000622F8">
      <w:pPr>
        <w:spacing w:after="0"/>
        <w:jc w:val="both"/>
        <w:rPr>
          <w:rFonts w:ascii="Times New Roman" w:hAnsi="Times New Roman" w:cs="Times New Roman"/>
        </w:rPr>
      </w:pPr>
      <w:r w:rsidRPr="00C75338">
        <w:rPr>
          <w:rFonts w:ascii="Times New Roman" w:hAnsi="Times New Roman" w:cs="Times New Roman"/>
        </w:rPr>
        <w:t xml:space="preserve"> </w:t>
      </w:r>
      <w:r w:rsidR="000622F8">
        <w:rPr>
          <w:rFonts w:ascii="Times New Roman" w:hAnsi="Times New Roman" w:cs="Times New Roman"/>
        </w:rPr>
        <w:tab/>
      </w:r>
      <w:r w:rsidRPr="00C75338">
        <w:rPr>
          <w:rFonts w:ascii="Times New Roman" w:hAnsi="Times New Roman" w:cs="Times New Roman"/>
        </w:rPr>
        <w:t>m → 0</w:t>
      </w:r>
    </w:p>
    <w:p w14:paraId="24651819" w14:textId="58508348" w:rsidR="00EE3DB4" w:rsidRPr="0035285C" w:rsidRDefault="00C75338" w:rsidP="0035285C">
      <w:pPr>
        <w:jc w:val="both"/>
        <w:rPr>
          <w:rFonts w:ascii="Times New Roman" w:hAnsi="Times New Roman" w:cs="Times New Roman"/>
        </w:rPr>
      </w:pPr>
      <w:r w:rsidRPr="00C75338">
        <w:rPr>
          <w:rFonts w:ascii="Times New Roman" w:hAnsi="Times New Roman" w:cs="Times New Roman"/>
        </w:rPr>
        <w:t xml:space="preserve">the configuration approaches the projection-limit boundary defined by u₄ → 0 under the conserved expansion invariant. </w:t>
      </w:r>
      <w:r w:rsidR="00853F4B" w:rsidRPr="00853F4B">
        <w:rPr>
          <w:rFonts w:ascii="Times New Roman" w:hAnsi="Times New Roman" w:cs="Times New Roman"/>
        </w:rPr>
        <w:t>At this boundary the configuration lacks finite x₄ anchoring relative to the Reality Plane and exhibits unbounded relative isotropic rescaling until interaction restores anchoring under the invariant constraint.</w:t>
      </w:r>
      <w:r w:rsidR="00853F4B">
        <w:rPr>
          <w:rFonts w:ascii="Times New Roman" w:hAnsi="Times New Roman" w:cs="Times New Roman"/>
        </w:rPr>
        <w:t xml:space="preserve"> </w:t>
      </w:r>
      <w:r w:rsidR="00874D58" w:rsidRPr="00874D58">
        <w:rPr>
          <w:rFonts w:ascii="Times New Roman" w:hAnsi="Times New Roman" w:cs="Times New Roman"/>
        </w:rPr>
        <w:t>The Schrödinger-type reduction applies in the massive regime and is not assumed to hold at this boundary.</w:t>
      </w:r>
    </w:p>
    <w:p w14:paraId="2DCB8B17" w14:textId="77777777" w:rsidR="00BB1B54" w:rsidRDefault="00BB1B54">
      <w:pPr>
        <w:rPr>
          <w:rFonts w:ascii="Times New Roman" w:eastAsiaTheme="majorEastAsia" w:hAnsi="Times New Roman" w:cstheme="majorBidi"/>
          <w:b/>
          <w:szCs w:val="40"/>
        </w:rPr>
      </w:pPr>
      <w:r>
        <w:br w:type="page"/>
      </w:r>
    </w:p>
    <w:p w14:paraId="385B44EC" w14:textId="3A641D79" w:rsidR="007C5BFD" w:rsidRPr="007C5BFD" w:rsidRDefault="007C5BFD" w:rsidP="007C5BFD">
      <w:pPr>
        <w:pStyle w:val="Heading1"/>
      </w:pPr>
      <w:r w:rsidRPr="007C5BFD">
        <w:t>7. Discussion and Theoretical Context</w:t>
      </w:r>
    </w:p>
    <w:p w14:paraId="00AD3814" w14:textId="3C379C83" w:rsidR="007C5BFD" w:rsidRPr="007C5BFD" w:rsidRDefault="007C5BFD" w:rsidP="007C5BFD">
      <w:pPr>
        <w:jc w:val="both"/>
        <w:rPr>
          <w:rFonts w:ascii="Times New Roman" w:hAnsi="Times New Roman" w:cs="Times New Roman"/>
        </w:rPr>
      </w:pPr>
      <w:r w:rsidRPr="007C5BFD">
        <w:rPr>
          <w:rFonts w:ascii="Times New Roman" w:hAnsi="Times New Roman" w:cs="Times New Roman"/>
        </w:rPr>
        <w:t>This section summarises how the projection-limit geometric formulation (PLG) relates to established theoretical frameworks. The emphasis is on structural comparison and scope rather than substitution.</w:t>
      </w:r>
    </w:p>
    <w:p w14:paraId="104D0A4C" w14:textId="77777777" w:rsidR="007C5BFD" w:rsidRPr="007C5BFD" w:rsidRDefault="007C5BFD" w:rsidP="007C5BFD">
      <w:pPr>
        <w:pStyle w:val="Heading2"/>
      </w:pPr>
      <w:r w:rsidRPr="007C5BFD">
        <w:t>7.1 Relation to General Relativity</w:t>
      </w:r>
    </w:p>
    <w:p w14:paraId="7690AD78"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 xml:space="preserve">In general relativity, gravitational effects arise from curvature of a Lorentzian spacetime metric described by </w:t>
      </w:r>
      <w:proofErr w:type="spellStart"/>
      <w:r w:rsidRPr="007C5BFD">
        <w:rPr>
          <w:rFonts w:ascii="Times New Roman" w:hAnsi="Times New Roman" w:cs="Times New Roman"/>
        </w:rPr>
        <w:t>gμν</w:t>
      </w:r>
      <w:proofErr w:type="spellEnd"/>
      <w:r w:rsidRPr="007C5BFD">
        <w:rPr>
          <w:rFonts w:ascii="Times New Roman" w:hAnsi="Times New Roman" w:cs="Times New Roman"/>
        </w:rPr>
        <w:t xml:space="preserve"> [6, 21, 23]. In PLG, gravitational phenomena are instead expressed through spatial variation of the expansion field ε(x), which governs the local relation between spatial projection and displacement along x₄.</w:t>
      </w:r>
    </w:p>
    <w:p w14:paraId="275BD236" w14:textId="77777777" w:rsidR="007C5BFD" w:rsidRPr="007C5BFD" w:rsidRDefault="007C5BFD" w:rsidP="007C5BFD">
      <w:pPr>
        <w:spacing w:after="0"/>
        <w:jc w:val="both"/>
        <w:rPr>
          <w:rFonts w:ascii="Times New Roman" w:hAnsi="Times New Roman" w:cs="Times New Roman"/>
        </w:rPr>
      </w:pPr>
      <w:r w:rsidRPr="007C5BFD">
        <w:rPr>
          <w:rFonts w:ascii="Times New Roman" w:hAnsi="Times New Roman" w:cs="Times New Roman"/>
        </w:rPr>
        <w:t>Gravitational redshift and time-dilation effects follow from:</w:t>
      </w:r>
    </w:p>
    <w:p w14:paraId="089C3C5C" w14:textId="77777777" w:rsidR="007C5BFD" w:rsidRPr="007C5BFD" w:rsidRDefault="007C5BFD" w:rsidP="007C5BFD">
      <w:pPr>
        <w:ind w:firstLine="720"/>
        <w:jc w:val="both"/>
        <w:rPr>
          <w:rFonts w:ascii="Times New Roman" w:hAnsi="Times New Roman" w:cs="Times New Roman"/>
        </w:rPr>
      </w:pPr>
      <w:proofErr w:type="spellStart"/>
      <w:r w:rsidRPr="007C5BFD">
        <w:rPr>
          <w:rFonts w:ascii="Times New Roman" w:hAnsi="Times New Roman" w:cs="Times New Roman"/>
        </w:rPr>
        <w:t>dτ</w:t>
      </w:r>
      <w:proofErr w:type="spellEnd"/>
      <w:r w:rsidRPr="007C5BFD">
        <w:rPr>
          <w:rFonts w:ascii="Times New Roman" w:hAnsi="Times New Roman" w:cs="Times New Roman"/>
        </w:rPr>
        <w:t xml:space="preserve"> / dt = ε / C₄</w:t>
      </w:r>
    </w:p>
    <w:p w14:paraId="6CC4479F"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In this framework, curvature is replaced by spatial gradients of ε within a Euclidean 4-dimensional manifold. The weak-field limit reproduces the Newtonian potential and leading-order Schwarzschild redshift behaviour [2, 5, 6].</w:t>
      </w:r>
    </w:p>
    <w:p w14:paraId="34B08F65" w14:textId="58656BCE" w:rsidR="007C5BFD" w:rsidRPr="007C5BFD" w:rsidRDefault="007C5BFD" w:rsidP="007C5BFD">
      <w:pPr>
        <w:jc w:val="both"/>
        <w:rPr>
          <w:rFonts w:ascii="Times New Roman" w:hAnsi="Times New Roman" w:cs="Times New Roman"/>
        </w:rPr>
      </w:pPr>
      <w:r w:rsidRPr="007C5BFD">
        <w:rPr>
          <w:rFonts w:ascii="Times New Roman" w:hAnsi="Times New Roman" w:cs="Times New Roman"/>
        </w:rPr>
        <w:t>PLG does not assume full equivalence with the Einstein field equations or their tensorial structure. The present formulation establishes consistency in the weak-field regime while treating strong-field behaviour and global solutions as open problems [6, 21].</w:t>
      </w:r>
    </w:p>
    <w:p w14:paraId="7479E483" w14:textId="77777777" w:rsidR="007C5BFD" w:rsidRPr="007C5BFD" w:rsidRDefault="007C5BFD" w:rsidP="007C5BFD">
      <w:pPr>
        <w:pStyle w:val="Heading2"/>
      </w:pPr>
      <w:r w:rsidRPr="007C5BFD">
        <w:t>7.2 Relation to Quantum Mechanics</w:t>
      </w:r>
    </w:p>
    <w:p w14:paraId="03407918"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In conventional quantum theory, probabilistic outcomes and wavefunction collapse are introduced through postulates within a Hilbert-space formalism [10–12].</w:t>
      </w:r>
    </w:p>
    <w:p w14:paraId="5B7238CD"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Within PLG, quantum probability arises from projection of a 4-dimensional availability distribution onto the Reality Plane, with Born-type weighting emerging from dimensional reduction under normalization constraints [9–12].</w:t>
      </w:r>
    </w:p>
    <w:p w14:paraId="47F9FB53"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Measurement is interpreted as geometric coupling between a projection-limit configuration and a finite-metric system. As developed in Section 6, localisation follows from the incompatibility between unanchored projection-limit states and the finite metric structure required for detector excitations. Collapse is therefore not introduced as an independent postulate but arises as a consequence of this geometric transition.</w:t>
      </w:r>
    </w:p>
    <w:p w14:paraId="089CF32B" w14:textId="655C4D70" w:rsidR="007C5BFD" w:rsidRPr="007C5BFD" w:rsidRDefault="007C5BFD" w:rsidP="007C5BFD">
      <w:pPr>
        <w:jc w:val="both"/>
        <w:rPr>
          <w:rFonts w:ascii="Times New Roman" w:hAnsi="Times New Roman" w:cs="Times New Roman"/>
        </w:rPr>
      </w:pPr>
      <w:r w:rsidRPr="007C5BFD">
        <w:rPr>
          <w:rFonts w:ascii="Times New Roman" w:hAnsi="Times New Roman" w:cs="Times New Roman"/>
        </w:rPr>
        <w:t>The present formulation reproduces the statistical structure of quantum theory at the level of probability assignment. A complete dynamical reformulation of quantum evolution within PLG remains to be developed [10–12].</w:t>
      </w:r>
    </w:p>
    <w:p w14:paraId="082969A1" w14:textId="77777777" w:rsidR="007C5BFD" w:rsidRPr="007C5BFD" w:rsidRDefault="007C5BFD" w:rsidP="007C5BFD">
      <w:pPr>
        <w:pStyle w:val="Heading2"/>
      </w:pPr>
      <w:r w:rsidRPr="007C5BFD">
        <w:t>7.3 Relation to MOND and Emergent Gravity</w:t>
      </w:r>
    </w:p>
    <w:p w14:paraId="37C5F106"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Modified Newtonian Dynamics (MOND) introduces an empirical acceleration scale to reproduce galactic rotation curves [15–18, 30]. Emergent-gravity approaches reinterpret gravitational behaviour in thermodynamic or entropic terms [19, 27–29].</w:t>
      </w:r>
    </w:p>
    <w:p w14:paraId="3FBC3B1C"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In PLG, asymptotically flat galactic rotation curves arise from the large-scale behaviour of the expansion field ε(x), without introducing additional matter components or empirical acceleration scales. This behaviour follows from the structure of the field equation under large-radius boundary conditions.</w:t>
      </w:r>
    </w:p>
    <w:p w14:paraId="0187DAEF" w14:textId="14958EAA" w:rsidR="007C5BFD" w:rsidRPr="007C5BFD" w:rsidRDefault="007C5BFD" w:rsidP="007C5BFD">
      <w:pPr>
        <w:jc w:val="both"/>
        <w:rPr>
          <w:rFonts w:ascii="Times New Roman" w:hAnsi="Times New Roman" w:cs="Times New Roman"/>
        </w:rPr>
      </w:pPr>
      <w:r w:rsidRPr="007C5BFD">
        <w:rPr>
          <w:rFonts w:ascii="Times New Roman" w:hAnsi="Times New Roman" w:cs="Times New Roman"/>
        </w:rPr>
        <w:t>The comparison highlights differences in underlying mechanism rather than observational outcome. PLG provides a geometric origin for the observed scaling behaviour, whereas alternative approaches modify the effective force law or introduce additional degrees of freedom [15–19, 27–30].</w:t>
      </w:r>
    </w:p>
    <w:p w14:paraId="53E6C43C" w14:textId="77777777" w:rsidR="007C5BFD" w:rsidRPr="007C5BFD" w:rsidRDefault="007C5BFD" w:rsidP="007C5BFD">
      <w:pPr>
        <w:pStyle w:val="Heading2"/>
      </w:pPr>
      <w:r w:rsidRPr="007C5BFD">
        <w:t>7.4 Scope and Prospects for Extension</w:t>
      </w:r>
    </w:p>
    <w:p w14:paraId="57032197"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The present formulation treats gravitation as arising from gradients of a scalar expansion field defined over a Euclidean 4-dimensional manifold, and interprets quantum phenomena through projection of 4-dimensional availability.</w:t>
      </w:r>
    </w:p>
    <w:p w14:paraId="2E2C8376"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The framework establishes internal consistency across relativistic kinematics, weak-field gravitational behaviour, and quantum probability structure within a single geometric construction. However, several aspects remain open:</w:t>
      </w:r>
    </w:p>
    <w:p w14:paraId="7CBC0507" w14:textId="77777777" w:rsidR="007C5BFD" w:rsidRPr="007C5BFD" w:rsidRDefault="007C5BFD" w:rsidP="007C5BFD">
      <w:pPr>
        <w:pStyle w:val="ListParagraph"/>
        <w:numPr>
          <w:ilvl w:val="0"/>
          <w:numId w:val="36"/>
        </w:numPr>
        <w:jc w:val="both"/>
        <w:rPr>
          <w:rFonts w:ascii="Times New Roman" w:hAnsi="Times New Roman" w:cs="Times New Roman"/>
        </w:rPr>
      </w:pPr>
      <w:r w:rsidRPr="007C5BFD">
        <w:rPr>
          <w:rFonts w:ascii="Times New Roman" w:hAnsi="Times New Roman" w:cs="Times New Roman"/>
        </w:rPr>
        <w:t xml:space="preserve">extension to full dynamical quantum evolution </w:t>
      </w:r>
    </w:p>
    <w:p w14:paraId="5419E277" w14:textId="77777777" w:rsidR="007C5BFD" w:rsidRPr="007C5BFD" w:rsidRDefault="007C5BFD" w:rsidP="007C5BFD">
      <w:pPr>
        <w:pStyle w:val="ListParagraph"/>
        <w:numPr>
          <w:ilvl w:val="0"/>
          <w:numId w:val="36"/>
        </w:numPr>
        <w:jc w:val="both"/>
        <w:rPr>
          <w:rFonts w:ascii="Times New Roman" w:hAnsi="Times New Roman" w:cs="Times New Roman"/>
        </w:rPr>
      </w:pPr>
      <w:r w:rsidRPr="007C5BFD">
        <w:rPr>
          <w:rFonts w:ascii="Times New Roman" w:hAnsi="Times New Roman" w:cs="Times New Roman"/>
        </w:rPr>
        <w:t xml:space="preserve">treatment of strong-field gravitational regimes </w:t>
      </w:r>
    </w:p>
    <w:p w14:paraId="0011D211" w14:textId="77777777" w:rsidR="007C5BFD" w:rsidRPr="007C5BFD" w:rsidRDefault="007C5BFD" w:rsidP="007C5BFD">
      <w:pPr>
        <w:pStyle w:val="ListParagraph"/>
        <w:numPr>
          <w:ilvl w:val="0"/>
          <w:numId w:val="36"/>
        </w:numPr>
        <w:jc w:val="both"/>
        <w:rPr>
          <w:rFonts w:ascii="Times New Roman" w:hAnsi="Times New Roman" w:cs="Times New Roman"/>
        </w:rPr>
      </w:pPr>
      <w:r w:rsidRPr="007C5BFD">
        <w:rPr>
          <w:rFonts w:ascii="Times New Roman" w:hAnsi="Times New Roman" w:cs="Times New Roman"/>
        </w:rPr>
        <w:t xml:space="preserve">incorporation of additional interaction sectors </w:t>
      </w:r>
    </w:p>
    <w:p w14:paraId="46B479B1" w14:textId="77777777" w:rsidR="007C5BFD" w:rsidRPr="007C5BFD" w:rsidRDefault="007C5BFD" w:rsidP="007C5BFD">
      <w:pPr>
        <w:jc w:val="both"/>
        <w:rPr>
          <w:rFonts w:ascii="Times New Roman" w:hAnsi="Times New Roman" w:cs="Times New Roman"/>
        </w:rPr>
      </w:pPr>
      <w:r w:rsidRPr="007C5BFD">
        <w:rPr>
          <w:rFonts w:ascii="Times New Roman" w:hAnsi="Times New Roman" w:cs="Times New Roman"/>
        </w:rPr>
        <w:t>These directions represent extensions of the present framework rather than requirements for its internal consistency. The results presented here are intended to establish a coherent geometric basis upon which such developments may be constructed.</w:t>
      </w:r>
    </w:p>
    <w:p w14:paraId="14C0B70B" w14:textId="5F765C13" w:rsidR="00EB4ED3" w:rsidRPr="00DF3378" w:rsidRDefault="00EB4ED3" w:rsidP="00DF3378">
      <w:pPr>
        <w:pStyle w:val="Heading1"/>
      </w:pPr>
      <w:r w:rsidRPr="00EB4ED3">
        <w:t>8. Empirical Implications and Falsifiability</w:t>
      </w:r>
    </w:p>
    <w:p w14:paraId="403AE7E1" w14:textId="415FC61F" w:rsidR="00EB4ED3" w:rsidRPr="00EB4ED3" w:rsidRDefault="00EB4ED3" w:rsidP="003A5C99">
      <w:pPr>
        <w:spacing w:line="276" w:lineRule="auto"/>
        <w:jc w:val="both"/>
        <w:rPr>
          <w:rFonts w:ascii="Times New Roman" w:eastAsiaTheme="majorEastAsia" w:hAnsi="Times New Roman" w:cs="Times New Roman"/>
          <w:szCs w:val="40"/>
        </w:rPr>
      </w:pPr>
      <w:r w:rsidRPr="00EB4ED3">
        <w:rPr>
          <w:rFonts w:ascii="Times New Roman" w:eastAsiaTheme="majorEastAsia" w:hAnsi="Times New Roman" w:cs="Times New Roman"/>
          <w:szCs w:val="40"/>
        </w:rPr>
        <w:t xml:space="preserve">The empirical consequences presented here follow directly from the PLG field equation and the conserved </w:t>
      </w:r>
      <w:r w:rsidR="006A42CF">
        <w:rPr>
          <w:rFonts w:ascii="Times New Roman" w:eastAsiaTheme="majorEastAsia" w:hAnsi="Times New Roman" w:cs="Times New Roman"/>
          <w:szCs w:val="40"/>
        </w:rPr>
        <w:t>4-dimensional</w:t>
      </w:r>
      <w:r w:rsidRPr="00EB4ED3">
        <w:rPr>
          <w:rFonts w:ascii="Times New Roman" w:eastAsiaTheme="majorEastAsia" w:hAnsi="Times New Roman" w:cs="Times New Roman"/>
          <w:szCs w:val="40"/>
        </w:rPr>
        <w:t xml:space="preserve"> expansion invariant. </w:t>
      </w:r>
      <w:r w:rsidR="001508C0" w:rsidRPr="001508C0">
        <w:rPr>
          <w:rFonts w:ascii="Times New Roman" w:eastAsiaTheme="majorEastAsia" w:hAnsi="Times New Roman" w:cs="Times New Roman"/>
          <w:szCs w:val="40"/>
        </w:rPr>
        <w:t>The results are presented at the level of mechanism rather than precision numerical fits.</w:t>
      </w:r>
      <w:r w:rsidR="001508C0">
        <w:rPr>
          <w:rFonts w:ascii="Times New Roman" w:eastAsiaTheme="majorEastAsia" w:hAnsi="Times New Roman" w:cs="Times New Roman"/>
          <w:szCs w:val="40"/>
        </w:rPr>
        <w:t xml:space="preserve"> </w:t>
      </w:r>
      <w:r w:rsidR="00921C01" w:rsidRPr="00921C01">
        <w:rPr>
          <w:rFonts w:ascii="Times New Roman" w:eastAsiaTheme="majorEastAsia" w:hAnsi="Times New Roman" w:cs="Times New Roman"/>
          <w:szCs w:val="40"/>
        </w:rPr>
        <w:t>The asymptotic dimensional reduction mechanism presented here establishes qualitative consistency; detailed galaxy-scale numerical modelling is deferred.</w:t>
      </w:r>
    </w:p>
    <w:p w14:paraId="2EDE7623" w14:textId="1A0F2F41" w:rsidR="00EB4ED3" w:rsidRPr="00EB4ED3" w:rsidRDefault="00EB4ED3" w:rsidP="003A5C99">
      <w:pPr>
        <w:pStyle w:val="Heading2"/>
        <w:spacing w:line="276" w:lineRule="auto"/>
      </w:pPr>
      <w:r w:rsidRPr="00EB4ED3">
        <w:t xml:space="preserve">8.1 </w:t>
      </w:r>
      <w:r w:rsidR="00A44AD7" w:rsidRPr="00A44AD7">
        <w:t>Galactic Rotation from an Effective Dimensional Crossover</w:t>
      </w:r>
    </w:p>
    <w:p w14:paraId="0AC8D223" w14:textId="10EC5338"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In PLG the expansion field satisfies, in the weak-field regime, the perturbative relation</w:t>
      </w:r>
      <w:r w:rsidR="00953226" w:rsidRPr="00D746E3">
        <w:rPr>
          <w:rFonts w:ascii="Times New Roman" w:eastAsiaTheme="majorEastAsia" w:hAnsi="Times New Roman" w:cs="Times New Roman"/>
          <w:szCs w:val="40"/>
        </w:rPr>
        <w:t>:</w:t>
      </w:r>
    </w:p>
    <w:p w14:paraId="55323D2A" w14:textId="55413C32" w:rsidR="002B0229" w:rsidRPr="002B0229" w:rsidRDefault="002B0229" w:rsidP="00D746E3">
      <w:pPr>
        <w:spacing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ε ≈ C₄ + Φ/C₄</w:t>
      </w:r>
    </w:p>
    <w:p w14:paraId="03615F4C" w14:textId="3C85BB44"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where Φ is the effective potential governing test-mass acceleration a = −</w:t>
      </w:r>
      <w:r w:rsidRPr="002B0229">
        <w:rPr>
          <w:rFonts w:ascii="Cambria Math" w:eastAsiaTheme="majorEastAsia" w:hAnsi="Cambria Math" w:cs="Cambria Math"/>
          <w:szCs w:val="40"/>
        </w:rPr>
        <w:t>∇</w:t>
      </w:r>
      <w:r w:rsidRPr="002B0229">
        <w:rPr>
          <w:rFonts w:ascii="Times New Roman" w:eastAsiaTheme="majorEastAsia" w:hAnsi="Times New Roman" w:cs="Times New Roman"/>
          <w:szCs w:val="40"/>
        </w:rPr>
        <w:t>Φ in the Reality Plane. Outside the baryonic mass distribution (ρ = 0), the field equation reduces to a vacuum Laplace form for the perturbation</w:t>
      </w:r>
      <w:r w:rsidR="00D746E3">
        <w:rPr>
          <w:rFonts w:ascii="Times New Roman" w:eastAsiaTheme="majorEastAsia" w:hAnsi="Times New Roman" w:cs="Times New Roman"/>
          <w:szCs w:val="40"/>
        </w:rPr>
        <w:t>:</w:t>
      </w:r>
    </w:p>
    <w:p w14:paraId="4991991C" w14:textId="42AF347D" w:rsidR="002B0229" w:rsidRPr="002B0229" w:rsidRDefault="002B0229" w:rsidP="00D746E3">
      <w:pPr>
        <w:spacing w:line="276" w:lineRule="auto"/>
        <w:ind w:firstLine="720"/>
        <w:jc w:val="both"/>
        <w:rPr>
          <w:rFonts w:ascii="Times New Roman" w:eastAsiaTheme="majorEastAsia" w:hAnsi="Times New Roman" w:cs="Times New Roman"/>
          <w:szCs w:val="40"/>
        </w:rPr>
      </w:pPr>
      <w:r w:rsidRPr="002B0229">
        <w:rPr>
          <w:rFonts w:ascii="Cambria Math" w:eastAsiaTheme="majorEastAsia" w:hAnsi="Cambria Math" w:cs="Cambria Math"/>
          <w:szCs w:val="40"/>
        </w:rPr>
        <w:t>∇</w:t>
      </w:r>
      <w:r w:rsidRPr="002B0229">
        <w:rPr>
          <w:rFonts w:ascii="Times New Roman" w:eastAsiaTheme="majorEastAsia" w:hAnsi="Times New Roman" w:cs="Times New Roman"/>
          <w:szCs w:val="40"/>
        </w:rPr>
        <w:t>₄²Φ = 0</w:t>
      </w:r>
    </w:p>
    <w:p w14:paraId="71ABB158" w14:textId="77777777"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 xml:space="preserve">For a rotationally supported disk galaxy, baryonic matter is confined to a thin neighbourhood of the Reality Plane. Let </w:t>
      </w:r>
      <w:proofErr w:type="spellStart"/>
      <w:r w:rsidRPr="002B0229">
        <w:rPr>
          <w:rFonts w:ascii="Times New Roman" w:eastAsiaTheme="majorEastAsia" w:hAnsi="Times New Roman" w:cs="Times New Roman"/>
          <w:szCs w:val="40"/>
        </w:rPr>
        <w:t>h_eff</w:t>
      </w:r>
      <w:proofErr w:type="spellEnd"/>
      <w:r w:rsidRPr="002B0229">
        <w:rPr>
          <w:rFonts w:ascii="Times New Roman" w:eastAsiaTheme="majorEastAsia" w:hAnsi="Times New Roman" w:cs="Times New Roman"/>
          <w:szCs w:val="40"/>
        </w:rPr>
        <w:t xml:space="preserve"> denote the effective transverse thickness over which the field varies significantly in directions orthogonal to the radial coordinate R in the plane (including the vertical thickness and the finite projection/interface scale associated with x₄). At radii large compared with this transverse scale (R </w:t>
      </w:r>
      <w:r w:rsidRPr="002B0229">
        <w:rPr>
          <w:rFonts w:ascii="Cambria Math" w:eastAsiaTheme="majorEastAsia" w:hAnsi="Cambria Math" w:cs="Cambria Math"/>
          <w:szCs w:val="40"/>
        </w:rPr>
        <w:t>≫</w:t>
      </w:r>
      <w:r w:rsidRPr="002B0229">
        <w:rPr>
          <w:rFonts w:ascii="Times New Roman" w:eastAsiaTheme="majorEastAsia" w:hAnsi="Times New Roman" w:cs="Times New Roman"/>
          <w:szCs w:val="40"/>
        </w:rPr>
        <w:t xml:space="preserve"> </w:t>
      </w:r>
      <w:proofErr w:type="spellStart"/>
      <w:r w:rsidRPr="002B0229">
        <w:rPr>
          <w:rFonts w:ascii="Times New Roman" w:eastAsiaTheme="majorEastAsia" w:hAnsi="Times New Roman" w:cs="Times New Roman"/>
          <w:szCs w:val="40"/>
        </w:rPr>
        <w:t>h_eff</w:t>
      </w:r>
      <w:proofErr w:type="spellEnd"/>
      <w:r w:rsidRPr="002B0229">
        <w:rPr>
          <w:rFonts w:ascii="Times New Roman" w:eastAsiaTheme="majorEastAsia" w:hAnsi="Times New Roman" w:cs="Times New Roman"/>
          <w:szCs w:val="40"/>
        </w:rPr>
        <w:t>), the potential becomes approximately uniform across the transverse directions and depends predominantly on the in-plane radius R:</w:t>
      </w:r>
    </w:p>
    <w:p w14:paraId="62BF6591" w14:textId="567D6F95" w:rsidR="002B0229" w:rsidRPr="002B0229" w:rsidRDefault="002B0229" w:rsidP="00D746E3">
      <w:pPr>
        <w:spacing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 xml:space="preserve">Φ ≈ Φ(R), ∂Φ/∂z ≈ 0, ∂Φ/∂x₄ ≈ 0 for R </w:t>
      </w:r>
      <w:r w:rsidRPr="002B0229">
        <w:rPr>
          <w:rFonts w:ascii="Cambria Math" w:eastAsiaTheme="majorEastAsia" w:hAnsi="Cambria Math" w:cs="Cambria Math"/>
          <w:szCs w:val="40"/>
        </w:rPr>
        <w:t>≫</w:t>
      </w:r>
      <w:r w:rsidRPr="002B0229">
        <w:rPr>
          <w:rFonts w:ascii="Times New Roman" w:eastAsiaTheme="majorEastAsia" w:hAnsi="Times New Roman" w:cs="Times New Roman"/>
          <w:szCs w:val="40"/>
        </w:rPr>
        <w:t xml:space="preserve"> </w:t>
      </w:r>
      <w:proofErr w:type="spellStart"/>
      <w:r w:rsidRPr="002B0229">
        <w:rPr>
          <w:rFonts w:ascii="Times New Roman" w:eastAsiaTheme="majorEastAsia" w:hAnsi="Times New Roman" w:cs="Times New Roman"/>
          <w:szCs w:val="40"/>
        </w:rPr>
        <w:t>h_eff</w:t>
      </w:r>
      <w:proofErr w:type="spellEnd"/>
    </w:p>
    <w:p w14:paraId="63A85B64" w14:textId="77777777"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Under these asymptotic conditions, the vacuum equation reduces to the two-dimensional radial Laplace equation in the plane:</w:t>
      </w:r>
    </w:p>
    <w:p w14:paraId="4CC704DD" w14:textId="252E8E9B" w:rsidR="002B0229" w:rsidRPr="002B0229" w:rsidRDefault="002B0229" w:rsidP="00A859DE">
      <w:pPr>
        <w:spacing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(1/R) d/</w:t>
      </w:r>
      <w:proofErr w:type="spellStart"/>
      <w:r w:rsidRPr="002B0229">
        <w:rPr>
          <w:rFonts w:ascii="Times New Roman" w:eastAsiaTheme="majorEastAsia" w:hAnsi="Times New Roman" w:cs="Times New Roman"/>
          <w:szCs w:val="40"/>
        </w:rPr>
        <w:t>dR</w:t>
      </w:r>
      <w:proofErr w:type="spellEnd"/>
      <w:r w:rsidRPr="002B0229">
        <w:rPr>
          <w:rFonts w:ascii="Times New Roman" w:eastAsiaTheme="majorEastAsia" w:hAnsi="Times New Roman" w:cs="Times New Roman"/>
          <w:szCs w:val="40"/>
        </w:rPr>
        <w:t xml:space="preserve"> [ R </w:t>
      </w:r>
      <w:proofErr w:type="spellStart"/>
      <w:r w:rsidRPr="002B0229">
        <w:rPr>
          <w:rFonts w:ascii="Times New Roman" w:eastAsiaTheme="majorEastAsia" w:hAnsi="Times New Roman" w:cs="Times New Roman"/>
          <w:szCs w:val="40"/>
        </w:rPr>
        <w:t>dΦ</w:t>
      </w:r>
      <w:proofErr w:type="spellEnd"/>
      <w:r w:rsidRPr="002B0229">
        <w:rPr>
          <w:rFonts w:ascii="Times New Roman" w:eastAsiaTheme="majorEastAsia" w:hAnsi="Times New Roman" w:cs="Times New Roman"/>
          <w:szCs w:val="40"/>
        </w:rPr>
        <w:t>/</w:t>
      </w:r>
      <w:proofErr w:type="spellStart"/>
      <w:r w:rsidRPr="002B0229">
        <w:rPr>
          <w:rFonts w:ascii="Times New Roman" w:eastAsiaTheme="majorEastAsia" w:hAnsi="Times New Roman" w:cs="Times New Roman"/>
          <w:szCs w:val="40"/>
        </w:rPr>
        <w:t>dR</w:t>
      </w:r>
      <w:proofErr w:type="spellEnd"/>
      <w:r w:rsidRPr="002B0229">
        <w:rPr>
          <w:rFonts w:ascii="Times New Roman" w:eastAsiaTheme="majorEastAsia" w:hAnsi="Times New Roman" w:cs="Times New Roman"/>
          <w:szCs w:val="40"/>
        </w:rPr>
        <w:t xml:space="preserve"> ] = 0</w:t>
      </w:r>
    </w:p>
    <w:p w14:paraId="0A125D97" w14:textId="53A62FB1"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Integrating once gives</w:t>
      </w:r>
      <w:r w:rsidR="00953226" w:rsidRPr="00D746E3">
        <w:rPr>
          <w:rFonts w:ascii="Times New Roman" w:eastAsiaTheme="majorEastAsia" w:hAnsi="Times New Roman" w:cs="Times New Roman"/>
          <w:szCs w:val="40"/>
        </w:rPr>
        <w:t>:</w:t>
      </w:r>
    </w:p>
    <w:p w14:paraId="7D9D3262" w14:textId="0621A43B" w:rsidR="002B0229" w:rsidRPr="002B0229" w:rsidRDefault="002B0229" w:rsidP="00D746E3">
      <w:pPr>
        <w:spacing w:after="0"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 xml:space="preserve">R </w:t>
      </w:r>
      <w:proofErr w:type="spellStart"/>
      <w:r w:rsidRPr="002B0229">
        <w:rPr>
          <w:rFonts w:ascii="Times New Roman" w:eastAsiaTheme="majorEastAsia" w:hAnsi="Times New Roman" w:cs="Times New Roman"/>
          <w:szCs w:val="40"/>
        </w:rPr>
        <w:t>dΦ</w:t>
      </w:r>
      <w:proofErr w:type="spellEnd"/>
      <w:r w:rsidRPr="002B0229">
        <w:rPr>
          <w:rFonts w:ascii="Times New Roman" w:eastAsiaTheme="majorEastAsia" w:hAnsi="Times New Roman" w:cs="Times New Roman"/>
          <w:szCs w:val="40"/>
        </w:rPr>
        <w:t>/</w:t>
      </w:r>
      <w:proofErr w:type="spellStart"/>
      <w:r w:rsidRPr="002B0229">
        <w:rPr>
          <w:rFonts w:ascii="Times New Roman" w:eastAsiaTheme="majorEastAsia" w:hAnsi="Times New Roman" w:cs="Times New Roman"/>
          <w:szCs w:val="40"/>
        </w:rPr>
        <w:t>dR</w:t>
      </w:r>
      <w:proofErr w:type="spellEnd"/>
      <w:r w:rsidRPr="002B0229">
        <w:rPr>
          <w:rFonts w:ascii="Times New Roman" w:eastAsiaTheme="majorEastAsia" w:hAnsi="Times New Roman" w:cs="Times New Roman"/>
          <w:szCs w:val="40"/>
        </w:rPr>
        <w:t xml:space="preserve"> = A</w:t>
      </w:r>
    </w:p>
    <w:p w14:paraId="12A2D337" w14:textId="061F7D6D" w:rsidR="002B0229" w:rsidRPr="002B0229" w:rsidRDefault="002B0229" w:rsidP="00D746E3">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and integrating again yields the logarithmic potential</w:t>
      </w:r>
      <w:r w:rsidR="00D746E3">
        <w:rPr>
          <w:rFonts w:ascii="Times New Roman" w:eastAsiaTheme="majorEastAsia" w:hAnsi="Times New Roman" w:cs="Times New Roman"/>
          <w:szCs w:val="40"/>
        </w:rPr>
        <w:t>:</w:t>
      </w:r>
    </w:p>
    <w:p w14:paraId="0B8D90F8" w14:textId="29808559" w:rsidR="002B0229" w:rsidRPr="002B0229" w:rsidRDefault="002B0229" w:rsidP="00D746E3">
      <w:pPr>
        <w:spacing w:after="0"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Φ(R) = A ln(R/R₀) + B</w:t>
      </w:r>
    </w:p>
    <w:p w14:paraId="50FF1F1C" w14:textId="77777777" w:rsidR="002B0229" w:rsidRPr="002B0229" w:rsidRDefault="002B0229" w:rsidP="00953226">
      <w:pPr>
        <w:spacing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where A and B are constants fixed by matching to the interior baryonic solution and by the large-radius boundary condition, and R₀ is an arbitrary reference radius.</w:t>
      </w:r>
    </w:p>
    <w:p w14:paraId="665944AB" w14:textId="37BFBC94" w:rsidR="002B0229" w:rsidRPr="002B0229" w:rsidRDefault="002B0229" w:rsidP="00FF0591">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The corresponding radial acceleration is</w:t>
      </w:r>
      <w:r w:rsidR="00953226" w:rsidRPr="00D746E3">
        <w:rPr>
          <w:rFonts w:ascii="Times New Roman" w:eastAsiaTheme="majorEastAsia" w:hAnsi="Times New Roman" w:cs="Times New Roman"/>
          <w:szCs w:val="40"/>
        </w:rPr>
        <w:t>:</w:t>
      </w:r>
    </w:p>
    <w:p w14:paraId="09AC499D" w14:textId="42887E53" w:rsidR="002B0229" w:rsidRPr="002E4F3B" w:rsidRDefault="002B0229" w:rsidP="00FF0591">
      <w:pPr>
        <w:spacing w:line="276" w:lineRule="auto"/>
        <w:ind w:firstLine="720"/>
        <w:jc w:val="both"/>
        <w:rPr>
          <w:rFonts w:ascii="Times New Roman" w:eastAsiaTheme="majorEastAsia" w:hAnsi="Times New Roman" w:cs="Times New Roman"/>
          <w:szCs w:val="40"/>
          <w:lang w:val="pt-BR"/>
        </w:rPr>
      </w:pPr>
      <w:proofErr w:type="spellStart"/>
      <w:r w:rsidRPr="002E4F3B">
        <w:rPr>
          <w:rFonts w:ascii="Times New Roman" w:eastAsiaTheme="majorEastAsia" w:hAnsi="Times New Roman" w:cs="Times New Roman"/>
          <w:szCs w:val="40"/>
          <w:lang w:val="pt-BR"/>
        </w:rPr>
        <w:t>a_R</w:t>
      </w:r>
      <w:proofErr w:type="spellEnd"/>
      <w:r w:rsidRPr="002E4F3B">
        <w:rPr>
          <w:rFonts w:ascii="Times New Roman" w:eastAsiaTheme="majorEastAsia" w:hAnsi="Times New Roman" w:cs="Times New Roman"/>
          <w:szCs w:val="40"/>
          <w:lang w:val="pt-BR"/>
        </w:rPr>
        <w:t>(R) = −d</w:t>
      </w:r>
      <w:r w:rsidRPr="002B0229">
        <w:rPr>
          <w:rFonts w:ascii="Times New Roman" w:eastAsiaTheme="majorEastAsia" w:hAnsi="Times New Roman" w:cs="Times New Roman"/>
          <w:szCs w:val="40"/>
        </w:rPr>
        <w:t>Φ</w:t>
      </w:r>
      <w:r w:rsidRPr="002E4F3B">
        <w:rPr>
          <w:rFonts w:ascii="Times New Roman" w:eastAsiaTheme="majorEastAsia" w:hAnsi="Times New Roman" w:cs="Times New Roman"/>
          <w:szCs w:val="40"/>
          <w:lang w:val="pt-BR"/>
        </w:rPr>
        <w:t>/</w:t>
      </w:r>
      <w:proofErr w:type="spellStart"/>
      <w:r w:rsidRPr="002E4F3B">
        <w:rPr>
          <w:rFonts w:ascii="Times New Roman" w:eastAsiaTheme="majorEastAsia" w:hAnsi="Times New Roman" w:cs="Times New Roman"/>
          <w:szCs w:val="40"/>
          <w:lang w:val="pt-BR"/>
        </w:rPr>
        <w:t>dR</w:t>
      </w:r>
      <w:proofErr w:type="spellEnd"/>
      <w:r w:rsidRPr="002E4F3B">
        <w:rPr>
          <w:rFonts w:ascii="Times New Roman" w:eastAsiaTheme="majorEastAsia" w:hAnsi="Times New Roman" w:cs="Times New Roman"/>
          <w:szCs w:val="40"/>
          <w:lang w:val="pt-BR"/>
        </w:rPr>
        <w:t xml:space="preserve"> = −A/R</w:t>
      </w:r>
    </w:p>
    <w:p w14:paraId="3190B852" w14:textId="51B239C1" w:rsidR="002B0229" w:rsidRPr="002B0229" w:rsidRDefault="002B0229" w:rsidP="00FF0591">
      <w:pPr>
        <w:spacing w:after="0" w:line="276" w:lineRule="auto"/>
        <w:jc w:val="both"/>
        <w:rPr>
          <w:rFonts w:ascii="Times New Roman" w:eastAsiaTheme="majorEastAsia" w:hAnsi="Times New Roman" w:cs="Times New Roman"/>
          <w:szCs w:val="40"/>
          <w:lang w:val="pt-BR"/>
        </w:rPr>
      </w:pPr>
      <w:r w:rsidRPr="002B0229">
        <w:rPr>
          <w:rFonts w:ascii="Times New Roman" w:eastAsiaTheme="majorEastAsia" w:hAnsi="Times New Roman" w:cs="Times New Roman"/>
          <w:szCs w:val="40"/>
          <w:lang w:val="pt-BR"/>
        </w:rPr>
        <w:t xml:space="preserve">For a circular </w:t>
      </w:r>
      <w:proofErr w:type="spellStart"/>
      <w:r w:rsidRPr="002B0229">
        <w:rPr>
          <w:rFonts w:ascii="Times New Roman" w:eastAsiaTheme="majorEastAsia" w:hAnsi="Times New Roman" w:cs="Times New Roman"/>
          <w:szCs w:val="40"/>
          <w:lang w:val="pt-BR"/>
        </w:rPr>
        <w:t>orbit</w:t>
      </w:r>
      <w:proofErr w:type="spellEnd"/>
      <w:r w:rsidRPr="002B0229">
        <w:rPr>
          <w:rFonts w:ascii="Times New Roman" w:eastAsiaTheme="majorEastAsia" w:hAnsi="Times New Roman" w:cs="Times New Roman"/>
          <w:szCs w:val="40"/>
          <w:lang w:val="pt-BR"/>
        </w:rPr>
        <w:t>, v_c²/R = |</w:t>
      </w:r>
      <w:proofErr w:type="spellStart"/>
      <w:r w:rsidRPr="002B0229">
        <w:rPr>
          <w:rFonts w:ascii="Times New Roman" w:eastAsiaTheme="majorEastAsia" w:hAnsi="Times New Roman" w:cs="Times New Roman"/>
          <w:szCs w:val="40"/>
          <w:lang w:val="pt-BR"/>
        </w:rPr>
        <w:t>a_R</w:t>
      </w:r>
      <w:proofErr w:type="spellEnd"/>
      <w:r w:rsidRPr="002B0229">
        <w:rPr>
          <w:rFonts w:ascii="Times New Roman" w:eastAsiaTheme="majorEastAsia" w:hAnsi="Times New Roman" w:cs="Times New Roman"/>
          <w:szCs w:val="40"/>
          <w:lang w:val="pt-BR"/>
        </w:rPr>
        <w:t xml:space="preserve">|, </w:t>
      </w:r>
      <w:proofErr w:type="spellStart"/>
      <w:r w:rsidRPr="002B0229">
        <w:rPr>
          <w:rFonts w:ascii="Times New Roman" w:eastAsiaTheme="majorEastAsia" w:hAnsi="Times New Roman" w:cs="Times New Roman"/>
          <w:szCs w:val="40"/>
          <w:lang w:val="pt-BR"/>
        </w:rPr>
        <w:t>hence</w:t>
      </w:r>
      <w:proofErr w:type="spellEnd"/>
      <w:r w:rsidR="00953226" w:rsidRPr="00D746E3">
        <w:rPr>
          <w:rFonts w:ascii="Times New Roman" w:eastAsiaTheme="majorEastAsia" w:hAnsi="Times New Roman" w:cs="Times New Roman"/>
          <w:szCs w:val="40"/>
          <w:lang w:val="pt-BR"/>
        </w:rPr>
        <w:t>:</w:t>
      </w:r>
    </w:p>
    <w:p w14:paraId="17FBE2AE" w14:textId="09630B93" w:rsidR="002B0229" w:rsidRPr="002B0229" w:rsidRDefault="002B0229" w:rsidP="00FF0591">
      <w:pPr>
        <w:spacing w:after="0" w:line="276" w:lineRule="auto"/>
        <w:ind w:firstLine="720"/>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v_c²(R) = R |</w:t>
      </w:r>
      <w:proofErr w:type="spellStart"/>
      <w:r w:rsidRPr="002B0229">
        <w:rPr>
          <w:rFonts w:ascii="Times New Roman" w:eastAsiaTheme="majorEastAsia" w:hAnsi="Times New Roman" w:cs="Times New Roman"/>
          <w:szCs w:val="40"/>
        </w:rPr>
        <w:t>a_R</w:t>
      </w:r>
      <w:proofErr w:type="spellEnd"/>
      <w:r w:rsidRPr="002B0229">
        <w:rPr>
          <w:rFonts w:ascii="Times New Roman" w:eastAsiaTheme="majorEastAsia" w:hAnsi="Times New Roman" w:cs="Times New Roman"/>
          <w:szCs w:val="40"/>
        </w:rPr>
        <w:t>(R)| = A</w:t>
      </w:r>
    </w:p>
    <w:p w14:paraId="3533EC3A" w14:textId="77777777" w:rsidR="002B0229" w:rsidRPr="002B0229" w:rsidRDefault="002B0229" w:rsidP="00FF0591">
      <w:pPr>
        <w:spacing w:after="0"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 xml:space="preserve">which is asymptotically constant. Therefore, once the field enters the large-radius regime in which transverse variations are negligible (R </w:t>
      </w:r>
      <w:r w:rsidRPr="002B0229">
        <w:rPr>
          <w:rFonts w:ascii="Cambria Math" w:eastAsiaTheme="majorEastAsia" w:hAnsi="Cambria Math" w:cs="Cambria Math"/>
          <w:szCs w:val="40"/>
        </w:rPr>
        <w:t>≫</w:t>
      </w:r>
      <w:r w:rsidRPr="002B0229">
        <w:rPr>
          <w:rFonts w:ascii="Times New Roman" w:eastAsiaTheme="majorEastAsia" w:hAnsi="Times New Roman" w:cs="Times New Roman"/>
          <w:szCs w:val="40"/>
        </w:rPr>
        <w:t xml:space="preserve"> </w:t>
      </w:r>
      <w:proofErr w:type="spellStart"/>
      <w:r w:rsidRPr="002B0229">
        <w:rPr>
          <w:rFonts w:ascii="Times New Roman" w:eastAsiaTheme="majorEastAsia" w:hAnsi="Times New Roman" w:cs="Times New Roman"/>
          <w:szCs w:val="40"/>
        </w:rPr>
        <w:t>h_eff</w:t>
      </w:r>
      <w:proofErr w:type="spellEnd"/>
      <w:r w:rsidRPr="002B0229">
        <w:rPr>
          <w:rFonts w:ascii="Times New Roman" w:eastAsiaTheme="majorEastAsia" w:hAnsi="Times New Roman" w:cs="Times New Roman"/>
          <w:szCs w:val="40"/>
        </w:rPr>
        <w:t>), the PLG vacuum solution naturally produces flat rotation curves:</w:t>
      </w:r>
    </w:p>
    <w:p w14:paraId="23FA3DB2" w14:textId="3D5E7F99" w:rsidR="002B0229" w:rsidRPr="002E4F3B" w:rsidRDefault="002B0229" w:rsidP="00FF0591">
      <w:pPr>
        <w:spacing w:line="276" w:lineRule="auto"/>
        <w:ind w:firstLine="720"/>
        <w:jc w:val="both"/>
        <w:rPr>
          <w:rFonts w:ascii="Times New Roman" w:eastAsiaTheme="majorEastAsia" w:hAnsi="Times New Roman" w:cs="Times New Roman"/>
          <w:szCs w:val="40"/>
        </w:rPr>
      </w:pPr>
      <w:proofErr w:type="spellStart"/>
      <w:r w:rsidRPr="002E4F3B">
        <w:rPr>
          <w:rFonts w:ascii="Times New Roman" w:eastAsiaTheme="majorEastAsia" w:hAnsi="Times New Roman" w:cs="Times New Roman"/>
          <w:szCs w:val="40"/>
        </w:rPr>
        <w:t>v_c</w:t>
      </w:r>
      <w:proofErr w:type="spellEnd"/>
      <w:r w:rsidRPr="002E4F3B">
        <w:rPr>
          <w:rFonts w:ascii="Times New Roman" w:eastAsiaTheme="majorEastAsia" w:hAnsi="Times New Roman" w:cs="Times New Roman"/>
          <w:szCs w:val="40"/>
        </w:rPr>
        <w:t>(R) → constant</w:t>
      </w:r>
    </w:p>
    <w:p w14:paraId="4FFEAAB2" w14:textId="77777777" w:rsidR="00A44AD7" w:rsidRDefault="002B0229" w:rsidP="00953226">
      <w:pPr>
        <w:spacing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Interpretation</w:t>
      </w:r>
      <w:r w:rsidR="00A859DE" w:rsidRPr="00A859DE">
        <w:rPr>
          <w:rFonts w:ascii="Times New Roman" w:eastAsiaTheme="majorEastAsia" w:hAnsi="Times New Roman" w:cs="Times New Roman"/>
          <w:szCs w:val="40"/>
        </w:rPr>
        <w:t>:</w:t>
      </w:r>
      <w:r w:rsidRPr="002B0229">
        <w:rPr>
          <w:rFonts w:ascii="Times New Roman" w:eastAsiaTheme="majorEastAsia" w:hAnsi="Times New Roman" w:cs="Times New Roman"/>
          <w:szCs w:val="40"/>
        </w:rPr>
        <w:t xml:space="preserve"> In this mechanism, the ln(R) behaviour is not inserted ad hoc; it arises because the far-field solution effectively becomes two-dimensional when the field is confined to, or rapidly equilibrates across, the finite transverse scale associated with the Reality-Plane neighbourhood and projection/interface thickness. The constant A encodes the matched influence of the baryonic mass distribution together with the effective transverse scale </w:t>
      </w:r>
      <w:proofErr w:type="spellStart"/>
      <w:r w:rsidRPr="002B0229">
        <w:rPr>
          <w:rFonts w:ascii="Times New Roman" w:eastAsiaTheme="majorEastAsia" w:hAnsi="Times New Roman" w:cs="Times New Roman"/>
          <w:szCs w:val="40"/>
        </w:rPr>
        <w:t>h_eff</w:t>
      </w:r>
      <w:proofErr w:type="spellEnd"/>
      <w:r w:rsidRPr="002B0229">
        <w:rPr>
          <w:rFonts w:ascii="Times New Roman" w:eastAsiaTheme="majorEastAsia" w:hAnsi="Times New Roman" w:cs="Times New Roman"/>
          <w:szCs w:val="40"/>
        </w:rPr>
        <w:t xml:space="preserve">. </w:t>
      </w:r>
    </w:p>
    <w:p w14:paraId="521D9A39" w14:textId="43041440" w:rsidR="002B0229" w:rsidRPr="002B0229" w:rsidRDefault="002B0229" w:rsidP="00953226">
      <w:pPr>
        <w:spacing w:line="276" w:lineRule="auto"/>
        <w:jc w:val="both"/>
        <w:rPr>
          <w:rFonts w:ascii="Times New Roman" w:eastAsiaTheme="majorEastAsia" w:hAnsi="Times New Roman" w:cs="Times New Roman"/>
          <w:szCs w:val="40"/>
        </w:rPr>
      </w:pPr>
      <w:r w:rsidRPr="002B0229">
        <w:rPr>
          <w:rFonts w:ascii="Times New Roman" w:eastAsiaTheme="majorEastAsia" w:hAnsi="Times New Roman" w:cs="Times New Roman"/>
          <w:szCs w:val="40"/>
        </w:rPr>
        <w:t xml:space="preserve">Quantitative galaxy-by-galaxy fits require solving the full boundary-value problem for ε (or Φ) with realistic baryonic profiles and a specified model for </w:t>
      </w:r>
      <w:proofErr w:type="spellStart"/>
      <w:r w:rsidRPr="002B0229">
        <w:rPr>
          <w:rFonts w:ascii="Times New Roman" w:eastAsiaTheme="majorEastAsia" w:hAnsi="Times New Roman" w:cs="Times New Roman"/>
          <w:szCs w:val="40"/>
        </w:rPr>
        <w:t>h_eff</w:t>
      </w:r>
      <w:proofErr w:type="spellEnd"/>
      <w:r w:rsidRPr="002B0229">
        <w:rPr>
          <w:rFonts w:ascii="Times New Roman" w:eastAsiaTheme="majorEastAsia" w:hAnsi="Times New Roman" w:cs="Times New Roman"/>
          <w:szCs w:val="40"/>
        </w:rPr>
        <w:t>(ρ) within PLG, and are left for future work.</w:t>
      </w:r>
      <w:r w:rsidR="00566E46">
        <w:rPr>
          <w:rFonts w:ascii="Times New Roman" w:eastAsiaTheme="majorEastAsia" w:hAnsi="Times New Roman" w:cs="Times New Roman"/>
          <w:szCs w:val="40"/>
        </w:rPr>
        <w:t xml:space="preserve"> </w:t>
      </w:r>
      <w:r w:rsidR="00566E46" w:rsidRPr="00566E46">
        <w:rPr>
          <w:rFonts w:ascii="Times New Roman" w:eastAsiaTheme="majorEastAsia" w:hAnsi="Times New Roman" w:cs="Times New Roman"/>
          <w:szCs w:val="40"/>
        </w:rPr>
        <w:t>The dimensional crossover mechanism presented here therefore provides a predictive scaling behaviour rather than a fitted modification of dynamics, and its quantitative validity must ultimately be tested through numerical solutions of the full PLG field equation for realistic baryonic mass distributions.</w:t>
      </w:r>
    </w:p>
    <w:p w14:paraId="19D0BB8C" w14:textId="34D3BF1F" w:rsidR="0082492C" w:rsidRPr="00566E46" w:rsidRDefault="0082492C" w:rsidP="00566E46">
      <w:pPr>
        <w:rPr>
          <w:rFonts w:ascii="Times New Roman" w:hAnsi="Times New Roman" w:cs="Times New Roman"/>
          <w:b/>
          <w:bCs/>
        </w:rPr>
      </w:pPr>
      <w:r w:rsidRPr="0082492C">
        <w:rPr>
          <w:rFonts w:ascii="Times New Roman" w:hAnsi="Times New Roman" w:cs="Times New Roman"/>
          <w:b/>
          <w:bCs/>
        </w:rPr>
        <w:t xml:space="preserve">Figure 3. </w:t>
      </w:r>
      <w:r w:rsidRPr="00E4734E">
        <w:rPr>
          <w:rFonts w:ascii="Times New Roman" w:hAnsi="Times New Roman" w:cs="Times New Roman"/>
        </w:rPr>
        <w:t>Schematic comparison of orbital velocity profiles</w:t>
      </w:r>
      <w:r w:rsidRPr="00E4734E">
        <w:rPr>
          <w:rFonts w:ascii="Times New Roman" w:hAnsi="Times New Roman" w:cs="Times New Roman"/>
        </w:rPr>
        <w:br/>
      </w:r>
      <w:r w:rsidRPr="00C33997">
        <w:rPr>
          <w:rFonts w:ascii="Times New Roman" w:hAnsi="Times New Roman" w:cs="Times New Roman"/>
        </w:rPr>
        <w:t xml:space="preserve">The blue curve shows the Newtonian expectation (v </w:t>
      </w:r>
      <w:r w:rsidRPr="00C33997">
        <w:rPr>
          <w:rFonts w:ascii="Cambria Math" w:hAnsi="Cambria Math" w:cs="Cambria Math"/>
        </w:rPr>
        <w:t>∝</w:t>
      </w:r>
      <w:r w:rsidRPr="00C33997">
        <w:rPr>
          <w:rFonts w:ascii="Times New Roman" w:hAnsi="Times New Roman" w:cs="Times New Roman"/>
        </w:rPr>
        <w:t xml:space="preserve"> r⁻¹</w:t>
      </w:r>
      <w:r w:rsidRPr="00C33997">
        <w:rPr>
          <w:rFonts w:ascii="Gadugi" w:hAnsi="Gadugi" w:cs="Gadugi"/>
        </w:rPr>
        <w:t>ᐟ</w:t>
      </w:r>
      <w:r w:rsidRPr="00C33997">
        <w:rPr>
          <w:rFonts w:ascii="Times New Roman" w:hAnsi="Times New Roman" w:cs="Times New Roman"/>
        </w:rPr>
        <w:t>²) for a centrally concentrated mass distribution. The dashed line indicates the observed approximately flat rotation behaviour in extended galaxies. The red curve illustrates the asymptotic solution obtained from the PLG field equation under large-radius boundary conditions. The figure is illustrative; detailed galaxy-specific modelling requires numerical solutions of the coupled baryonic–ε system.</w:t>
      </w:r>
    </w:p>
    <w:p w14:paraId="77B7BBC1" w14:textId="77777777" w:rsidR="0082492C" w:rsidRPr="00C33997" w:rsidRDefault="0082492C" w:rsidP="003A5C99">
      <w:pPr>
        <w:spacing w:line="276" w:lineRule="auto"/>
        <w:rPr>
          <w:rFonts w:ascii="Times New Roman" w:hAnsi="Times New Roman" w:cs="Times New Roman"/>
        </w:rPr>
      </w:pPr>
      <w:r w:rsidRPr="00C33997">
        <w:rPr>
          <w:rFonts w:ascii="Times New Roman" w:hAnsi="Times New Roman" w:cs="Times New Roman"/>
          <w:noProof/>
        </w:rPr>
        <w:drawing>
          <wp:inline distT="0" distB="0" distL="0" distR="0" wp14:anchorId="5EAAC968" wp14:editId="0845E1F6">
            <wp:extent cx="3727450" cy="2561757"/>
            <wp:effectExtent l="0" t="0" r="6350" b="0"/>
            <wp:docPr id="104523182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231827" name="Picture 1" descr="A graph of a function&#10;&#10;AI-generated content may be incorrect."/>
                    <pic:cNvPicPr/>
                  </pic:nvPicPr>
                  <pic:blipFill>
                    <a:blip r:embed="rId14"/>
                    <a:stretch>
                      <a:fillRect/>
                    </a:stretch>
                  </pic:blipFill>
                  <pic:spPr>
                    <a:xfrm>
                      <a:off x="0" y="0"/>
                      <a:ext cx="3838146" cy="2637835"/>
                    </a:xfrm>
                    <a:prstGeom prst="rect">
                      <a:avLst/>
                    </a:prstGeom>
                  </pic:spPr>
                </pic:pic>
              </a:graphicData>
            </a:graphic>
          </wp:inline>
        </w:drawing>
      </w:r>
    </w:p>
    <w:p w14:paraId="5EC4F903" w14:textId="124728D5" w:rsidR="00EB4ED3" w:rsidRPr="00AC0736" w:rsidRDefault="00EB4ED3" w:rsidP="00AC0736">
      <w:pPr>
        <w:pStyle w:val="Heading2"/>
      </w:pPr>
      <w:r w:rsidRPr="00EB4ED3">
        <w:t>8.2 Finite-Density Collapse</w:t>
      </w:r>
    </w:p>
    <w:p w14:paraId="4591BF75" w14:textId="4E025734" w:rsidR="00EB4ED3" w:rsidRPr="00EB4ED3" w:rsidRDefault="00EB4ED3" w:rsidP="003A5C99">
      <w:pPr>
        <w:spacing w:line="276" w:lineRule="auto"/>
        <w:jc w:val="both"/>
        <w:rPr>
          <w:rFonts w:ascii="Times New Roman" w:eastAsiaTheme="majorEastAsia" w:hAnsi="Times New Roman" w:cs="Times New Roman"/>
          <w:szCs w:val="40"/>
        </w:rPr>
      </w:pPr>
      <w:r w:rsidRPr="00EB4ED3">
        <w:rPr>
          <w:rFonts w:ascii="Times New Roman" w:eastAsiaTheme="majorEastAsia" w:hAnsi="Times New Roman" w:cs="Times New Roman"/>
          <w:szCs w:val="40"/>
        </w:rPr>
        <w:t xml:space="preserve">The expansion field admits a maximum density scale ρₘₐₓ associated with the Planck-level interface of the </w:t>
      </w:r>
      <w:r w:rsidR="006A42CF">
        <w:rPr>
          <w:rFonts w:ascii="Times New Roman" w:eastAsiaTheme="majorEastAsia" w:hAnsi="Times New Roman" w:cs="Times New Roman"/>
          <w:szCs w:val="40"/>
        </w:rPr>
        <w:t>4-dimensional</w:t>
      </w:r>
      <w:r w:rsidRPr="00EB4ED3">
        <w:rPr>
          <w:rFonts w:ascii="Times New Roman" w:eastAsiaTheme="majorEastAsia" w:hAnsi="Times New Roman" w:cs="Times New Roman"/>
          <w:szCs w:val="40"/>
        </w:rPr>
        <w:t xml:space="preserve"> geometry. As ρ approaches ρₘₐₓ, the local expansion parameter decreases toward zero but does not diverge. In this framework, gravitational collapse approaches a finite-density limit rather than a curvature singularity.</w:t>
      </w:r>
    </w:p>
    <w:p w14:paraId="036ABD68" w14:textId="77777777" w:rsidR="00EB4ED3" w:rsidRPr="00EB4ED3" w:rsidRDefault="00EB4ED3" w:rsidP="003A5C99">
      <w:pPr>
        <w:spacing w:line="276" w:lineRule="auto"/>
        <w:jc w:val="both"/>
        <w:rPr>
          <w:rFonts w:ascii="Times New Roman" w:eastAsiaTheme="majorEastAsia" w:hAnsi="Times New Roman" w:cs="Times New Roman"/>
          <w:szCs w:val="40"/>
        </w:rPr>
      </w:pPr>
      <w:r w:rsidRPr="00EB4ED3">
        <w:rPr>
          <w:rFonts w:ascii="Times New Roman" w:eastAsiaTheme="majorEastAsia" w:hAnsi="Times New Roman" w:cs="Times New Roman"/>
          <w:szCs w:val="40"/>
        </w:rPr>
        <w:t>A full dynamical treatment of black-hole interiors is beyond the present scope; the result should be regarded as a field-theoretic implication of the expansion constraint.</w:t>
      </w:r>
    </w:p>
    <w:p w14:paraId="30F0E05A" w14:textId="77777777" w:rsidR="00EB4ED3" w:rsidRPr="00EB4ED3" w:rsidRDefault="00EB4ED3" w:rsidP="003A5C99">
      <w:pPr>
        <w:pStyle w:val="Heading2"/>
        <w:spacing w:line="276" w:lineRule="auto"/>
      </w:pPr>
      <w:r w:rsidRPr="00EB4ED3">
        <w:t>8.3 Experimental Constraints on Geometric Isotropy</w:t>
      </w:r>
    </w:p>
    <w:p w14:paraId="23DB9E8F" w14:textId="5641FE11" w:rsidR="00EB4ED3" w:rsidRPr="00EB4ED3" w:rsidRDefault="00EB4ED3" w:rsidP="003A5C99">
      <w:pPr>
        <w:spacing w:line="276" w:lineRule="auto"/>
        <w:jc w:val="both"/>
        <w:rPr>
          <w:rFonts w:ascii="Times New Roman" w:eastAsiaTheme="majorEastAsia" w:hAnsi="Times New Roman" w:cs="Times New Roman"/>
          <w:szCs w:val="40"/>
        </w:rPr>
      </w:pPr>
      <w:r w:rsidRPr="00EB4ED3">
        <w:rPr>
          <w:rFonts w:ascii="Times New Roman" w:eastAsiaTheme="majorEastAsia" w:hAnsi="Times New Roman" w:cs="Times New Roman"/>
          <w:szCs w:val="40"/>
        </w:rPr>
        <w:t xml:space="preserve">Because relativistic time dilation in PLG arises from redistribution of </w:t>
      </w:r>
      <w:r w:rsidR="006A42CF">
        <w:rPr>
          <w:rFonts w:ascii="Times New Roman" w:eastAsiaTheme="majorEastAsia" w:hAnsi="Times New Roman" w:cs="Times New Roman"/>
          <w:szCs w:val="40"/>
        </w:rPr>
        <w:t>4-dimensional</w:t>
      </w:r>
      <w:r w:rsidRPr="00EB4ED3">
        <w:rPr>
          <w:rFonts w:ascii="Times New Roman" w:eastAsiaTheme="majorEastAsia" w:hAnsi="Times New Roman" w:cs="Times New Roman"/>
          <w:szCs w:val="40"/>
        </w:rPr>
        <w:t xml:space="preserve"> expansion between x₄ and the Reality Plane, the formalism assumes isotropy of the underlying </w:t>
      </w:r>
      <w:r w:rsidR="006A42CF">
        <w:rPr>
          <w:rFonts w:ascii="Times New Roman" w:eastAsiaTheme="majorEastAsia" w:hAnsi="Times New Roman" w:cs="Times New Roman"/>
          <w:szCs w:val="40"/>
        </w:rPr>
        <w:t>4-dimensional</w:t>
      </w:r>
      <w:r w:rsidRPr="00EB4ED3">
        <w:rPr>
          <w:rFonts w:ascii="Times New Roman" w:eastAsiaTheme="majorEastAsia" w:hAnsi="Times New Roman" w:cs="Times New Roman"/>
          <w:szCs w:val="40"/>
        </w:rPr>
        <w:t xml:space="preserve"> geometry. High-precision interferometric and time-delay experiments therefore provide a means of constraining directional anisotropies in relativistic path lengths.</w:t>
      </w:r>
    </w:p>
    <w:p w14:paraId="3B5EA0D4" w14:textId="77777777" w:rsidR="00EB4ED3" w:rsidRPr="00EB4ED3" w:rsidRDefault="00EB4ED3" w:rsidP="003A5C99">
      <w:pPr>
        <w:spacing w:line="276" w:lineRule="auto"/>
        <w:jc w:val="both"/>
        <w:rPr>
          <w:rFonts w:ascii="Times New Roman" w:eastAsiaTheme="majorEastAsia" w:hAnsi="Times New Roman" w:cs="Times New Roman"/>
          <w:szCs w:val="40"/>
        </w:rPr>
      </w:pPr>
      <w:r w:rsidRPr="00EB4ED3">
        <w:rPr>
          <w:rFonts w:ascii="Times New Roman" w:eastAsiaTheme="majorEastAsia" w:hAnsi="Times New Roman" w:cs="Times New Roman"/>
          <w:szCs w:val="40"/>
        </w:rPr>
        <w:t>Any statistically significant deviation from isotropy at high Lorentz factors would directly challenge the assumed expansion symmetry. Existing experimental bounds already impose strong constraints on such effects [1].</w:t>
      </w:r>
    </w:p>
    <w:p w14:paraId="06F6B3E6" w14:textId="70AE928B" w:rsidR="00F62CA9" w:rsidRPr="00F62CA9" w:rsidRDefault="006268CC" w:rsidP="003A5C99">
      <w:pPr>
        <w:pStyle w:val="Heading1"/>
        <w:spacing w:line="276" w:lineRule="auto"/>
        <w:jc w:val="both"/>
      </w:pPr>
      <w:r>
        <w:t>9</w:t>
      </w:r>
      <w:r w:rsidR="00F62CA9" w:rsidRPr="00F62CA9">
        <w:t>. Conclusion</w:t>
      </w:r>
    </w:p>
    <w:p w14:paraId="4A782295" w14:textId="61D6F2D6" w:rsidR="00FC08EE" w:rsidRPr="00FC08EE" w:rsidRDefault="00FC08EE" w:rsidP="00FC08EE">
      <w:pPr>
        <w:spacing w:line="276" w:lineRule="auto"/>
        <w:jc w:val="both"/>
        <w:rPr>
          <w:rFonts w:ascii="Times New Roman" w:hAnsi="Times New Roman" w:cs="Times New Roman"/>
        </w:rPr>
      </w:pPr>
      <w:r w:rsidRPr="00FC08EE">
        <w:rPr>
          <w:rFonts w:ascii="Times New Roman" w:hAnsi="Times New Roman" w:cs="Times New Roman"/>
        </w:rPr>
        <w:t xml:space="preserve">This work has developed a 4-dimensional projection-limit geometric formulation (PLG) in which observable physical behaviour arises from projection of fixed higher-dimensional geometries into an observer-defined 3-dimensional Reality Plane. Within this framework, temporal ordering is not fundamental but emerges from conserved </w:t>
      </w:r>
      <w:r w:rsidR="00FC4FF9">
        <w:rPr>
          <w:rFonts w:ascii="Times New Roman" w:hAnsi="Times New Roman" w:cs="Times New Roman"/>
        </w:rPr>
        <w:t xml:space="preserve">4-dimensional </w:t>
      </w:r>
      <w:r w:rsidRPr="00FC08EE">
        <w:rPr>
          <w:rFonts w:ascii="Times New Roman" w:hAnsi="Times New Roman" w:cs="Times New Roman"/>
        </w:rPr>
        <w:t>expansion along the additional spatial coordinate x₄. Relativistic kinematics follow directly from the invariant expansion structure, with time dilation, length contraction, and energy–momentum relations arising as geometric consequences of redistribution of expansion between the Reality Plane and x₄.</w:t>
      </w:r>
    </w:p>
    <w:p w14:paraId="7DD3821F" w14:textId="3702C0F2" w:rsidR="00FC08EE" w:rsidRPr="00FC08EE" w:rsidRDefault="005D77AE" w:rsidP="00FC08EE">
      <w:pPr>
        <w:spacing w:line="276" w:lineRule="auto"/>
        <w:jc w:val="both"/>
        <w:rPr>
          <w:rFonts w:ascii="Times New Roman" w:hAnsi="Times New Roman" w:cs="Times New Roman"/>
        </w:rPr>
      </w:pPr>
      <w:r w:rsidRPr="005D77AE">
        <w:rPr>
          <w:rFonts w:ascii="Times New Roman" w:hAnsi="Times New Roman" w:cs="Times New Roman"/>
        </w:rPr>
        <w:t xml:space="preserve">The locally realised expansion magnitude ε(x) encodes spatial variation of the </w:t>
      </w:r>
      <w:r w:rsidR="00FF1C96" w:rsidRPr="00FF1C96">
        <w:rPr>
          <w:rFonts w:ascii="Times New Roman" w:hAnsi="Times New Roman" w:cs="Times New Roman"/>
        </w:rPr>
        <w:t>expansion magnitude field</w:t>
      </w:r>
      <w:r w:rsidR="00FF1C96">
        <w:rPr>
          <w:rFonts w:ascii="Times New Roman" w:hAnsi="Times New Roman" w:cs="Times New Roman"/>
        </w:rPr>
        <w:t xml:space="preserve">. </w:t>
      </w:r>
      <w:r w:rsidR="00FC08EE" w:rsidRPr="00FC08EE">
        <w:rPr>
          <w:rFonts w:ascii="Times New Roman" w:hAnsi="Times New Roman" w:cs="Times New Roman"/>
        </w:rPr>
        <w:t>Application of a variational principle yields a governing field equation whose weak-field limit reproduces Newtonian behaviour and whose relativistic regime is consistent with standard gravitational redshift relations. In the optical limit, spatial variation of ε(x) reproduces the standard weak-field expressions for light deflection and Shapiro time delay. Gravitational phenomena are therefore expressed through spatial gradients of ε within a Euclidean 4-dimensional manifold rather than through curvature of a Lorentzian spacetime metric, while remaining compatible with established weak-field experimental constraints. A full dynamical treatment of strong-field structure and global solutions is deferred to future work.</w:t>
      </w:r>
    </w:p>
    <w:p w14:paraId="3633D0DB" w14:textId="77777777" w:rsidR="00FC08EE" w:rsidRPr="00FC08EE" w:rsidRDefault="00FC08EE" w:rsidP="00FC08EE">
      <w:pPr>
        <w:spacing w:line="276" w:lineRule="auto"/>
        <w:jc w:val="both"/>
        <w:rPr>
          <w:rFonts w:ascii="Times New Roman" w:hAnsi="Times New Roman" w:cs="Times New Roman"/>
        </w:rPr>
      </w:pPr>
      <w:r w:rsidRPr="00FC08EE">
        <w:rPr>
          <w:rFonts w:ascii="Times New Roman" w:hAnsi="Times New Roman" w:cs="Times New Roman"/>
        </w:rPr>
        <w:t>At galactic scales, the large-radius behaviour of the expansion field yields asymptotically constant orbital velocities under appropriate boundary conditions. This behaviour arises as a geometric consequence of the field equation and provides a testable dynamical mechanism within the PLG framework. Detailed numerical modelling of realistic mass distributions remains to be undertaken.</w:t>
      </w:r>
    </w:p>
    <w:p w14:paraId="7CE0231E" w14:textId="3A267399" w:rsidR="00FC08EE" w:rsidRPr="00FC08EE" w:rsidRDefault="00FC08EE" w:rsidP="00FC08EE">
      <w:pPr>
        <w:spacing w:line="276" w:lineRule="auto"/>
        <w:jc w:val="both"/>
        <w:rPr>
          <w:rFonts w:ascii="Times New Roman" w:hAnsi="Times New Roman" w:cs="Times New Roman"/>
        </w:rPr>
      </w:pPr>
      <w:r w:rsidRPr="00FC08EE">
        <w:rPr>
          <w:rFonts w:ascii="Times New Roman" w:hAnsi="Times New Roman" w:cs="Times New Roman"/>
        </w:rPr>
        <w:t xml:space="preserve">Projection-limit configurations arise naturally for massless systems. In this setting, invariant observed propagation speed follows from geometric boundary conditions rather than from postulated null worldlines. Within the same formalism, quantum phenomena are interpreted as consequences of projection of a 4-dimensional availability distribution onto the Reality Plane, followed by </w:t>
      </w:r>
      <w:r w:rsidR="00996147" w:rsidRPr="00996147">
        <w:rPr>
          <w:rFonts w:ascii="Times New Roman" w:hAnsi="Times New Roman" w:cs="Times New Roman"/>
        </w:rPr>
        <w:t>relational metric decomposition</w:t>
      </w:r>
      <w:r w:rsidR="00996147">
        <w:rPr>
          <w:rFonts w:ascii="Times New Roman" w:hAnsi="Times New Roman" w:cs="Times New Roman"/>
        </w:rPr>
        <w:t xml:space="preserve"> </w:t>
      </w:r>
      <w:r w:rsidRPr="00FC08EE">
        <w:rPr>
          <w:rFonts w:ascii="Times New Roman" w:hAnsi="Times New Roman" w:cs="Times New Roman"/>
        </w:rPr>
        <w:t>to the local metric scale. Linear interference occurs at the level of the higher-dimensional field, while quadratic probability weighting emerges through dimensional reduction, yielding Born-type statistics. Non-</w:t>
      </w:r>
      <w:proofErr w:type="spellStart"/>
      <w:r w:rsidRPr="00FC08EE">
        <w:rPr>
          <w:rFonts w:ascii="Times New Roman" w:hAnsi="Times New Roman" w:cs="Times New Roman"/>
        </w:rPr>
        <w:t>factorisable</w:t>
      </w:r>
      <w:proofErr w:type="spellEnd"/>
      <w:r w:rsidRPr="00FC08EE">
        <w:rPr>
          <w:rFonts w:ascii="Times New Roman" w:hAnsi="Times New Roman" w:cs="Times New Roman"/>
        </w:rPr>
        <w:t xml:space="preserve"> correlations arise from shared 4-dimensional geometric structure prior to projection, providing a geometric interpretation consistent with observed entanglement correlations while preserving the established statistical framework of quantum theory.</w:t>
      </w:r>
    </w:p>
    <w:p w14:paraId="3DB033A1" w14:textId="77777777" w:rsidR="00FC08EE" w:rsidRPr="00FC08EE" w:rsidRDefault="00FC08EE" w:rsidP="00FC08EE">
      <w:pPr>
        <w:spacing w:line="276" w:lineRule="auto"/>
        <w:jc w:val="both"/>
        <w:rPr>
          <w:rFonts w:ascii="Times New Roman" w:hAnsi="Times New Roman" w:cs="Times New Roman"/>
        </w:rPr>
      </w:pPr>
      <w:r w:rsidRPr="00FC08EE">
        <w:rPr>
          <w:rFonts w:ascii="Times New Roman" w:hAnsi="Times New Roman" w:cs="Times New Roman"/>
        </w:rPr>
        <w:t>Taken together, these results establish the internal coherence of the projection-limit formulation across relativistic, weak-field gravitational, and projection-limited regimes within a single geometric construction. The present work is concerned with foundational structure and mechanism-level consistency. Further investigation, including detailed numerical modelling, systematic treatment of quantum dynamics, and exploration of additional interaction sectors, will be developed separately.</w:t>
      </w:r>
    </w:p>
    <w:p w14:paraId="698F8769" w14:textId="77777777" w:rsidR="00E4734E" w:rsidRDefault="00E4734E" w:rsidP="003A5C99">
      <w:pPr>
        <w:spacing w:line="276" w:lineRule="auto"/>
        <w:rPr>
          <w:rFonts w:ascii="Times New Roman" w:hAnsi="Times New Roman" w:cs="Times New Roman"/>
        </w:rPr>
      </w:pPr>
      <w:r>
        <w:rPr>
          <w:rFonts w:ascii="Times New Roman" w:hAnsi="Times New Roman" w:cs="Times New Roman"/>
        </w:rPr>
        <w:br w:type="page"/>
      </w:r>
    </w:p>
    <w:p w14:paraId="018A0652" w14:textId="0A2025ED" w:rsidR="00227E66" w:rsidRPr="005103F8" w:rsidRDefault="00227E66" w:rsidP="000A51B9">
      <w:pPr>
        <w:pStyle w:val="Heading1"/>
      </w:pPr>
      <w:r w:rsidRPr="005103F8">
        <w:t>Funding Declaration</w:t>
      </w:r>
    </w:p>
    <w:p w14:paraId="00CA2C19" w14:textId="77777777" w:rsidR="00227E66" w:rsidRPr="000A51B9" w:rsidRDefault="00227E66" w:rsidP="00227E66">
      <w:pPr>
        <w:rPr>
          <w:rFonts w:ascii="Times New Roman" w:hAnsi="Times New Roman" w:cs="Times New Roman"/>
        </w:rPr>
      </w:pPr>
      <w:r w:rsidRPr="000A51B9">
        <w:rPr>
          <w:rFonts w:ascii="Times New Roman" w:hAnsi="Times New Roman" w:cs="Times New Roman"/>
        </w:rPr>
        <w:t>The author received no external funding for this work.</w:t>
      </w:r>
    </w:p>
    <w:p w14:paraId="77E300C3" w14:textId="2EF17960" w:rsidR="00F62CA9" w:rsidRPr="00227E66" w:rsidRDefault="00F62CA9" w:rsidP="00227E66">
      <w:pPr>
        <w:pStyle w:val="Heading1"/>
        <w:rPr>
          <w:rFonts w:cstheme="minorBidi"/>
          <w:bCs/>
        </w:rPr>
      </w:pPr>
      <w:proofErr w:type="spellStart"/>
      <w:r w:rsidRPr="00F62CA9">
        <w:rPr>
          <w:lang w:val="nl-NL"/>
        </w:rPr>
        <w:t>References</w:t>
      </w:r>
      <w:proofErr w:type="spellEnd"/>
    </w:p>
    <w:p w14:paraId="61F1791A" w14:textId="732D2989" w:rsidR="00DA745C" w:rsidRPr="00DA745C" w:rsidRDefault="00DA745C" w:rsidP="003A5C99">
      <w:pPr>
        <w:pStyle w:val="NormalWeb"/>
        <w:numPr>
          <w:ilvl w:val="0"/>
          <w:numId w:val="8"/>
        </w:numPr>
        <w:spacing w:line="276" w:lineRule="auto"/>
        <w:ind w:right="-188"/>
        <w:rPr>
          <w:lang w:val="nl-NL"/>
        </w:rPr>
      </w:pPr>
      <w:r w:rsidRPr="00DA745C">
        <w:rPr>
          <w:lang w:val="nl-NL"/>
        </w:rPr>
        <w:t>Einstein, A. (1905). “</w:t>
      </w:r>
      <w:proofErr w:type="spellStart"/>
      <w:r w:rsidRPr="00DA745C">
        <w:rPr>
          <w:lang w:val="nl-NL"/>
        </w:rPr>
        <w:t>Zur</w:t>
      </w:r>
      <w:proofErr w:type="spellEnd"/>
      <w:r w:rsidRPr="00DA745C">
        <w:rPr>
          <w:lang w:val="nl-NL"/>
        </w:rPr>
        <w:t xml:space="preserve"> </w:t>
      </w:r>
      <w:proofErr w:type="spellStart"/>
      <w:r w:rsidRPr="00DA745C">
        <w:rPr>
          <w:lang w:val="nl-NL"/>
        </w:rPr>
        <w:t>Elektrodynamik</w:t>
      </w:r>
      <w:proofErr w:type="spellEnd"/>
      <w:r w:rsidRPr="00DA745C">
        <w:rPr>
          <w:lang w:val="nl-NL"/>
        </w:rPr>
        <w:t xml:space="preserve"> </w:t>
      </w:r>
      <w:proofErr w:type="spellStart"/>
      <w:r w:rsidRPr="00DA745C">
        <w:rPr>
          <w:lang w:val="nl-NL"/>
        </w:rPr>
        <w:t>bewegter</w:t>
      </w:r>
      <w:proofErr w:type="spellEnd"/>
      <w:r w:rsidRPr="00DA745C">
        <w:rPr>
          <w:lang w:val="nl-NL"/>
        </w:rPr>
        <w:t xml:space="preserve"> </w:t>
      </w:r>
      <w:proofErr w:type="spellStart"/>
      <w:r w:rsidRPr="00DA745C">
        <w:rPr>
          <w:lang w:val="nl-NL"/>
        </w:rPr>
        <w:t>Körper</w:t>
      </w:r>
      <w:proofErr w:type="spellEnd"/>
      <w:r w:rsidRPr="00DA745C">
        <w:rPr>
          <w:lang w:val="nl-NL"/>
        </w:rPr>
        <w:t xml:space="preserve">.” </w:t>
      </w:r>
      <w:r w:rsidRPr="00DA745C">
        <w:rPr>
          <w:rFonts w:eastAsiaTheme="majorEastAsia"/>
          <w:i/>
          <w:iCs/>
          <w:lang w:val="nl-NL"/>
        </w:rPr>
        <w:t xml:space="preserve">Annalen der </w:t>
      </w:r>
      <w:proofErr w:type="spellStart"/>
      <w:r w:rsidRPr="00DA745C">
        <w:rPr>
          <w:rFonts w:eastAsiaTheme="majorEastAsia"/>
          <w:i/>
          <w:iCs/>
          <w:lang w:val="nl-NL"/>
        </w:rPr>
        <w:t>Physik</w:t>
      </w:r>
      <w:proofErr w:type="spellEnd"/>
      <w:r w:rsidRPr="00DA745C">
        <w:rPr>
          <w:lang w:val="nl-NL"/>
        </w:rPr>
        <w:t xml:space="preserve">, </w:t>
      </w:r>
      <w:r w:rsidRPr="00DA745C">
        <w:rPr>
          <w:rFonts w:eastAsiaTheme="majorEastAsia"/>
          <w:b/>
          <w:bCs/>
          <w:lang w:val="nl-NL"/>
        </w:rPr>
        <w:t>17</w:t>
      </w:r>
      <w:r w:rsidRPr="00DA745C">
        <w:rPr>
          <w:lang w:val="nl-NL"/>
        </w:rPr>
        <w:t>, 891.</w:t>
      </w:r>
    </w:p>
    <w:p w14:paraId="07BFC226" w14:textId="69293894" w:rsidR="00DA745C" w:rsidRPr="00DA745C" w:rsidRDefault="00DA745C" w:rsidP="003A5C99">
      <w:pPr>
        <w:pStyle w:val="NormalWeb"/>
        <w:numPr>
          <w:ilvl w:val="0"/>
          <w:numId w:val="8"/>
        </w:numPr>
        <w:spacing w:line="276" w:lineRule="auto"/>
        <w:ind w:right="-188"/>
        <w:rPr>
          <w:lang w:val="nl-NL"/>
        </w:rPr>
      </w:pPr>
      <w:r w:rsidRPr="00DA745C">
        <w:rPr>
          <w:lang w:val="nl-NL"/>
        </w:rPr>
        <w:t xml:space="preserve">Einstein, A. (1916). “Die </w:t>
      </w:r>
      <w:proofErr w:type="spellStart"/>
      <w:r w:rsidRPr="00DA745C">
        <w:rPr>
          <w:lang w:val="nl-NL"/>
        </w:rPr>
        <w:t>Grundlage</w:t>
      </w:r>
      <w:proofErr w:type="spellEnd"/>
      <w:r w:rsidRPr="00DA745C">
        <w:rPr>
          <w:lang w:val="nl-NL"/>
        </w:rPr>
        <w:t xml:space="preserve"> der </w:t>
      </w:r>
      <w:proofErr w:type="spellStart"/>
      <w:r w:rsidRPr="00DA745C">
        <w:rPr>
          <w:lang w:val="nl-NL"/>
        </w:rPr>
        <w:t>allgemeinen</w:t>
      </w:r>
      <w:proofErr w:type="spellEnd"/>
      <w:r w:rsidRPr="00DA745C">
        <w:rPr>
          <w:lang w:val="nl-NL"/>
        </w:rPr>
        <w:t xml:space="preserve"> </w:t>
      </w:r>
      <w:proofErr w:type="spellStart"/>
      <w:r w:rsidRPr="00DA745C">
        <w:rPr>
          <w:lang w:val="nl-NL"/>
        </w:rPr>
        <w:t>Relativitätstheorie</w:t>
      </w:r>
      <w:proofErr w:type="spellEnd"/>
      <w:r w:rsidRPr="00DA745C">
        <w:rPr>
          <w:lang w:val="nl-NL"/>
        </w:rPr>
        <w:t xml:space="preserve">.” </w:t>
      </w:r>
      <w:r w:rsidRPr="00DA745C">
        <w:rPr>
          <w:rFonts w:eastAsiaTheme="majorEastAsia"/>
          <w:i/>
          <w:iCs/>
          <w:lang w:val="nl-NL"/>
        </w:rPr>
        <w:t xml:space="preserve">Annalen der </w:t>
      </w:r>
      <w:proofErr w:type="spellStart"/>
      <w:r w:rsidRPr="00DA745C">
        <w:rPr>
          <w:rFonts w:eastAsiaTheme="majorEastAsia"/>
          <w:i/>
          <w:iCs/>
          <w:lang w:val="nl-NL"/>
        </w:rPr>
        <w:t>Physik</w:t>
      </w:r>
      <w:proofErr w:type="spellEnd"/>
      <w:r w:rsidRPr="00DA745C">
        <w:rPr>
          <w:lang w:val="nl-NL"/>
        </w:rPr>
        <w:t xml:space="preserve">, </w:t>
      </w:r>
      <w:r w:rsidRPr="00DA745C">
        <w:rPr>
          <w:rFonts w:eastAsiaTheme="majorEastAsia"/>
          <w:b/>
          <w:bCs/>
          <w:lang w:val="nl-NL"/>
        </w:rPr>
        <w:t>49</w:t>
      </w:r>
      <w:r w:rsidRPr="00DA745C">
        <w:rPr>
          <w:lang w:val="nl-NL"/>
        </w:rPr>
        <w:t>, 769.</w:t>
      </w:r>
    </w:p>
    <w:p w14:paraId="6287EE44" w14:textId="6D6C63B9" w:rsidR="00DA745C" w:rsidRPr="00DA745C" w:rsidRDefault="00DA745C" w:rsidP="003A5C99">
      <w:pPr>
        <w:pStyle w:val="NormalWeb"/>
        <w:numPr>
          <w:ilvl w:val="0"/>
          <w:numId w:val="8"/>
        </w:numPr>
        <w:spacing w:line="276" w:lineRule="auto"/>
        <w:ind w:right="-188"/>
        <w:rPr>
          <w:lang w:val="nl-NL"/>
        </w:rPr>
      </w:pPr>
      <w:proofErr w:type="spellStart"/>
      <w:r w:rsidRPr="00DA745C">
        <w:rPr>
          <w:lang w:val="nl-NL"/>
        </w:rPr>
        <w:t>Minkowski</w:t>
      </w:r>
      <w:proofErr w:type="spellEnd"/>
      <w:r w:rsidRPr="00DA745C">
        <w:rPr>
          <w:lang w:val="nl-NL"/>
        </w:rPr>
        <w:t>, H. (1909). “</w:t>
      </w:r>
      <w:proofErr w:type="spellStart"/>
      <w:r w:rsidRPr="00DA745C">
        <w:rPr>
          <w:lang w:val="nl-NL"/>
        </w:rPr>
        <w:t>Raum</w:t>
      </w:r>
      <w:proofErr w:type="spellEnd"/>
      <w:r w:rsidRPr="00DA745C">
        <w:rPr>
          <w:lang w:val="nl-NL"/>
        </w:rPr>
        <w:t xml:space="preserve"> </w:t>
      </w:r>
      <w:proofErr w:type="spellStart"/>
      <w:r w:rsidRPr="00DA745C">
        <w:rPr>
          <w:lang w:val="nl-NL"/>
        </w:rPr>
        <w:t>und</w:t>
      </w:r>
      <w:proofErr w:type="spellEnd"/>
      <w:r w:rsidRPr="00DA745C">
        <w:rPr>
          <w:lang w:val="nl-NL"/>
        </w:rPr>
        <w:t xml:space="preserve"> </w:t>
      </w:r>
      <w:proofErr w:type="spellStart"/>
      <w:r w:rsidRPr="00DA745C">
        <w:rPr>
          <w:lang w:val="nl-NL"/>
        </w:rPr>
        <w:t>Zeit</w:t>
      </w:r>
      <w:proofErr w:type="spellEnd"/>
      <w:r w:rsidRPr="00DA745C">
        <w:rPr>
          <w:lang w:val="nl-NL"/>
        </w:rPr>
        <w:t xml:space="preserve">.” </w:t>
      </w:r>
      <w:proofErr w:type="spellStart"/>
      <w:r w:rsidRPr="00DA745C">
        <w:rPr>
          <w:rFonts w:eastAsiaTheme="majorEastAsia"/>
          <w:i/>
          <w:iCs/>
          <w:lang w:val="nl-NL"/>
        </w:rPr>
        <w:t>Physikalische</w:t>
      </w:r>
      <w:proofErr w:type="spellEnd"/>
      <w:r w:rsidRPr="00DA745C">
        <w:rPr>
          <w:rFonts w:eastAsiaTheme="majorEastAsia"/>
          <w:i/>
          <w:iCs/>
          <w:lang w:val="nl-NL"/>
        </w:rPr>
        <w:t xml:space="preserve"> </w:t>
      </w:r>
      <w:proofErr w:type="spellStart"/>
      <w:r w:rsidRPr="00DA745C">
        <w:rPr>
          <w:rFonts w:eastAsiaTheme="majorEastAsia"/>
          <w:i/>
          <w:iCs/>
          <w:lang w:val="nl-NL"/>
        </w:rPr>
        <w:t>Zeitschrift</w:t>
      </w:r>
      <w:proofErr w:type="spellEnd"/>
      <w:r w:rsidRPr="00DA745C">
        <w:rPr>
          <w:lang w:val="nl-NL"/>
        </w:rPr>
        <w:t xml:space="preserve">, </w:t>
      </w:r>
      <w:r w:rsidRPr="00DA745C">
        <w:rPr>
          <w:rFonts w:eastAsiaTheme="majorEastAsia"/>
          <w:b/>
          <w:bCs/>
          <w:lang w:val="nl-NL"/>
        </w:rPr>
        <w:t>10</w:t>
      </w:r>
      <w:r w:rsidRPr="00DA745C">
        <w:rPr>
          <w:lang w:val="nl-NL"/>
        </w:rPr>
        <w:t>, 75.</w:t>
      </w:r>
    </w:p>
    <w:p w14:paraId="13CC84F7" w14:textId="723AA7DD" w:rsidR="00DA745C" w:rsidRPr="00DA745C" w:rsidRDefault="00DA745C" w:rsidP="003A5C99">
      <w:pPr>
        <w:pStyle w:val="NormalWeb"/>
        <w:numPr>
          <w:ilvl w:val="0"/>
          <w:numId w:val="8"/>
        </w:numPr>
        <w:spacing w:line="276" w:lineRule="auto"/>
        <w:ind w:right="-188"/>
      </w:pPr>
      <w:r w:rsidRPr="00DA745C">
        <w:t xml:space="preserve">Dirac, P. A. M. (1938). “Classical Theory of Radiating Electrons.” </w:t>
      </w:r>
      <w:r w:rsidRPr="00DA745C">
        <w:rPr>
          <w:rFonts w:eastAsiaTheme="majorEastAsia"/>
          <w:i/>
          <w:iCs/>
        </w:rPr>
        <w:t>Proceedings of the Royal Society A</w:t>
      </w:r>
      <w:r w:rsidRPr="00DA745C">
        <w:t xml:space="preserve">, </w:t>
      </w:r>
      <w:r w:rsidRPr="00DA745C">
        <w:rPr>
          <w:rFonts w:eastAsiaTheme="majorEastAsia"/>
          <w:b/>
          <w:bCs/>
        </w:rPr>
        <w:t>167</w:t>
      </w:r>
      <w:r w:rsidRPr="00DA745C">
        <w:t>, 148.</w:t>
      </w:r>
    </w:p>
    <w:p w14:paraId="2815BE8A" w14:textId="4F46CCA2" w:rsidR="00DA745C" w:rsidRPr="00DA745C" w:rsidRDefault="00DA745C" w:rsidP="003A5C99">
      <w:pPr>
        <w:pStyle w:val="NormalWeb"/>
        <w:numPr>
          <w:ilvl w:val="0"/>
          <w:numId w:val="8"/>
        </w:numPr>
        <w:spacing w:line="276" w:lineRule="auto"/>
        <w:ind w:right="-188"/>
      </w:pPr>
      <w:r w:rsidRPr="00DA745C">
        <w:rPr>
          <w:lang w:val="fr-FR"/>
        </w:rPr>
        <w:t xml:space="preserve">Landau, L. D., &amp; </w:t>
      </w:r>
      <w:proofErr w:type="spellStart"/>
      <w:r w:rsidRPr="00DA745C">
        <w:rPr>
          <w:lang w:val="fr-FR"/>
        </w:rPr>
        <w:t>Lifshitz</w:t>
      </w:r>
      <w:proofErr w:type="spellEnd"/>
      <w:r w:rsidRPr="00DA745C">
        <w:rPr>
          <w:lang w:val="fr-FR"/>
        </w:rPr>
        <w:t xml:space="preserve">, E. M. (1975). </w:t>
      </w:r>
      <w:r w:rsidRPr="00DA745C">
        <w:rPr>
          <w:rFonts w:eastAsiaTheme="majorEastAsia"/>
          <w:i/>
          <w:iCs/>
        </w:rPr>
        <w:t>The Classical Theory of Fields</w:t>
      </w:r>
      <w:r w:rsidRPr="00DA745C">
        <w:t>. Pergamon Press.</w:t>
      </w:r>
    </w:p>
    <w:p w14:paraId="653B808F" w14:textId="6A254CB9" w:rsidR="00DA745C" w:rsidRPr="00DA745C" w:rsidRDefault="00DA745C" w:rsidP="003A5C99">
      <w:pPr>
        <w:pStyle w:val="NormalWeb"/>
        <w:numPr>
          <w:ilvl w:val="0"/>
          <w:numId w:val="8"/>
        </w:numPr>
        <w:spacing w:line="276" w:lineRule="auto"/>
        <w:ind w:right="-188"/>
      </w:pPr>
      <w:r w:rsidRPr="00DA745C">
        <w:t xml:space="preserve">Misner, C. W., Thorne, K. S., &amp; Wheeler, J. A. (1973). </w:t>
      </w:r>
      <w:r w:rsidRPr="00DA745C">
        <w:rPr>
          <w:rFonts w:eastAsiaTheme="majorEastAsia"/>
          <w:i/>
          <w:iCs/>
        </w:rPr>
        <w:t>Gravitation</w:t>
      </w:r>
      <w:r w:rsidRPr="00DA745C">
        <w:t>. W. H. Freeman.</w:t>
      </w:r>
    </w:p>
    <w:p w14:paraId="36BFD247" w14:textId="33FD484C" w:rsidR="00DA745C" w:rsidRPr="00DA745C" w:rsidRDefault="00DA745C" w:rsidP="003A5C99">
      <w:pPr>
        <w:pStyle w:val="NormalWeb"/>
        <w:numPr>
          <w:ilvl w:val="0"/>
          <w:numId w:val="8"/>
        </w:numPr>
        <w:spacing w:line="276" w:lineRule="auto"/>
        <w:ind w:right="-188"/>
      </w:pPr>
      <w:r w:rsidRPr="00DA745C">
        <w:t xml:space="preserve">Penrose, R. (2004). </w:t>
      </w:r>
      <w:r w:rsidRPr="00DA745C">
        <w:rPr>
          <w:rFonts w:eastAsiaTheme="majorEastAsia"/>
          <w:i/>
          <w:iCs/>
        </w:rPr>
        <w:t>The Road to Reality</w:t>
      </w:r>
      <w:r w:rsidRPr="00DA745C">
        <w:t>. Jonathan Cape.</w:t>
      </w:r>
    </w:p>
    <w:p w14:paraId="77F2CFF2" w14:textId="16CB6574" w:rsidR="00DA745C" w:rsidRPr="00DA745C" w:rsidRDefault="00DA745C" w:rsidP="003A5C99">
      <w:pPr>
        <w:pStyle w:val="NormalWeb"/>
        <w:numPr>
          <w:ilvl w:val="0"/>
          <w:numId w:val="8"/>
        </w:numPr>
        <w:spacing w:line="276" w:lineRule="auto"/>
        <w:ind w:right="-188"/>
      </w:pPr>
      <w:r w:rsidRPr="00DA745C">
        <w:t>Wheeler, J. A. (1964). “</w:t>
      </w:r>
      <w:proofErr w:type="spellStart"/>
      <w:r w:rsidRPr="00DA745C">
        <w:t>Geometrodynamics</w:t>
      </w:r>
      <w:proofErr w:type="spellEnd"/>
      <w:r w:rsidRPr="00DA745C">
        <w:t xml:space="preserve"> and the Issue of the Final State.” In </w:t>
      </w:r>
      <w:r w:rsidRPr="00DA745C">
        <w:rPr>
          <w:rFonts w:eastAsiaTheme="majorEastAsia"/>
          <w:i/>
          <w:iCs/>
        </w:rPr>
        <w:t>Relativity, Groups and Topology</w:t>
      </w:r>
      <w:r w:rsidRPr="00DA745C">
        <w:t>. Gordon and Breach.</w:t>
      </w:r>
    </w:p>
    <w:p w14:paraId="3920752B" w14:textId="13FFBE74" w:rsidR="00DA745C" w:rsidRPr="00DA745C" w:rsidRDefault="00DA745C" w:rsidP="003A5C99">
      <w:pPr>
        <w:pStyle w:val="NormalWeb"/>
        <w:numPr>
          <w:ilvl w:val="0"/>
          <w:numId w:val="8"/>
        </w:numPr>
        <w:spacing w:line="276" w:lineRule="auto"/>
        <w:ind w:right="-188"/>
        <w:rPr>
          <w:lang w:val="nl-NL"/>
        </w:rPr>
      </w:pPr>
      <w:r w:rsidRPr="0042016F">
        <w:rPr>
          <w:lang w:val="nl-NL"/>
        </w:rPr>
        <w:t xml:space="preserve">Born, M. (1926). </w:t>
      </w:r>
      <w:r w:rsidRPr="00DA745C">
        <w:rPr>
          <w:lang w:val="nl-NL"/>
        </w:rPr>
        <w:t>“</w:t>
      </w:r>
      <w:proofErr w:type="spellStart"/>
      <w:r w:rsidRPr="00DA745C">
        <w:rPr>
          <w:lang w:val="nl-NL"/>
        </w:rPr>
        <w:t>Zur</w:t>
      </w:r>
      <w:proofErr w:type="spellEnd"/>
      <w:r w:rsidRPr="00DA745C">
        <w:rPr>
          <w:lang w:val="nl-NL"/>
        </w:rPr>
        <w:t xml:space="preserve"> </w:t>
      </w:r>
      <w:proofErr w:type="spellStart"/>
      <w:r w:rsidRPr="00DA745C">
        <w:rPr>
          <w:lang w:val="nl-NL"/>
        </w:rPr>
        <w:t>Quantenmechanik</w:t>
      </w:r>
      <w:proofErr w:type="spellEnd"/>
      <w:r w:rsidRPr="00DA745C">
        <w:rPr>
          <w:lang w:val="nl-NL"/>
        </w:rPr>
        <w:t xml:space="preserve"> der </w:t>
      </w:r>
      <w:proofErr w:type="spellStart"/>
      <w:r w:rsidRPr="00DA745C">
        <w:rPr>
          <w:lang w:val="nl-NL"/>
        </w:rPr>
        <w:t>Stoßvorgänge</w:t>
      </w:r>
      <w:proofErr w:type="spellEnd"/>
      <w:r w:rsidRPr="00DA745C">
        <w:rPr>
          <w:lang w:val="nl-NL"/>
        </w:rPr>
        <w:t xml:space="preserve">.” </w:t>
      </w:r>
      <w:proofErr w:type="spellStart"/>
      <w:r w:rsidRPr="00DA745C">
        <w:rPr>
          <w:rFonts w:eastAsiaTheme="majorEastAsia"/>
          <w:i/>
          <w:iCs/>
          <w:lang w:val="nl-NL"/>
        </w:rPr>
        <w:t>Zeitschrift</w:t>
      </w:r>
      <w:proofErr w:type="spellEnd"/>
      <w:r w:rsidRPr="00DA745C">
        <w:rPr>
          <w:rFonts w:eastAsiaTheme="majorEastAsia"/>
          <w:i/>
          <w:iCs/>
          <w:lang w:val="nl-NL"/>
        </w:rPr>
        <w:t xml:space="preserve"> </w:t>
      </w:r>
      <w:proofErr w:type="spellStart"/>
      <w:r w:rsidRPr="00DA745C">
        <w:rPr>
          <w:rFonts w:eastAsiaTheme="majorEastAsia"/>
          <w:i/>
          <w:iCs/>
          <w:lang w:val="nl-NL"/>
        </w:rPr>
        <w:t>für</w:t>
      </w:r>
      <w:proofErr w:type="spellEnd"/>
      <w:r w:rsidRPr="00DA745C">
        <w:rPr>
          <w:rFonts w:eastAsiaTheme="majorEastAsia"/>
          <w:i/>
          <w:iCs/>
          <w:lang w:val="nl-NL"/>
        </w:rPr>
        <w:t xml:space="preserve"> </w:t>
      </w:r>
      <w:proofErr w:type="spellStart"/>
      <w:r w:rsidRPr="00DA745C">
        <w:rPr>
          <w:rFonts w:eastAsiaTheme="majorEastAsia"/>
          <w:i/>
          <w:iCs/>
          <w:lang w:val="nl-NL"/>
        </w:rPr>
        <w:t>Physik</w:t>
      </w:r>
      <w:proofErr w:type="spellEnd"/>
      <w:r w:rsidRPr="00DA745C">
        <w:rPr>
          <w:lang w:val="nl-NL"/>
        </w:rPr>
        <w:t xml:space="preserve">, </w:t>
      </w:r>
      <w:r w:rsidRPr="00DA745C">
        <w:rPr>
          <w:rFonts w:eastAsiaTheme="majorEastAsia"/>
          <w:b/>
          <w:bCs/>
          <w:lang w:val="nl-NL"/>
        </w:rPr>
        <w:t>37</w:t>
      </w:r>
      <w:r w:rsidRPr="00DA745C">
        <w:rPr>
          <w:lang w:val="nl-NL"/>
        </w:rPr>
        <w:t>, 863.</w:t>
      </w:r>
    </w:p>
    <w:p w14:paraId="2D3BCF02" w14:textId="553A1B2A" w:rsidR="00DA745C" w:rsidRPr="00DA745C" w:rsidRDefault="00DA745C" w:rsidP="003A5C99">
      <w:pPr>
        <w:pStyle w:val="NormalWeb"/>
        <w:numPr>
          <w:ilvl w:val="0"/>
          <w:numId w:val="8"/>
        </w:numPr>
        <w:spacing w:line="276" w:lineRule="auto"/>
        <w:ind w:right="-188"/>
      </w:pPr>
      <w:r w:rsidRPr="00DA745C">
        <w:rPr>
          <w:lang w:val="nl-NL"/>
        </w:rPr>
        <w:t>Heisenberg, W. (1927). “</w:t>
      </w:r>
      <w:proofErr w:type="spellStart"/>
      <w:r w:rsidRPr="00DA745C">
        <w:rPr>
          <w:lang w:val="nl-NL"/>
        </w:rPr>
        <w:t>Über</w:t>
      </w:r>
      <w:proofErr w:type="spellEnd"/>
      <w:r w:rsidRPr="00DA745C">
        <w:rPr>
          <w:lang w:val="nl-NL"/>
        </w:rPr>
        <w:t xml:space="preserve"> den </w:t>
      </w:r>
      <w:proofErr w:type="spellStart"/>
      <w:r w:rsidRPr="00DA745C">
        <w:rPr>
          <w:lang w:val="nl-NL"/>
        </w:rPr>
        <w:t>anschaulichen</w:t>
      </w:r>
      <w:proofErr w:type="spellEnd"/>
      <w:r w:rsidRPr="00DA745C">
        <w:rPr>
          <w:lang w:val="nl-NL"/>
        </w:rPr>
        <w:t xml:space="preserve"> </w:t>
      </w:r>
      <w:proofErr w:type="spellStart"/>
      <w:r w:rsidRPr="00DA745C">
        <w:rPr>
          <w:lang w:val="nl-NL"/>
        </w:rPr>
        <w:t>Inhalt</w:t>
      </w:r>
      <w:proofErr w:type="spellEnd"/>
      <w:r w:rsidRPr="00DA745C">
        <w:rPr>
          <w:lang w:val="nl-NL"/>
        </w:rPr>
        <w:t xml:space="preserve"> der </w:t>
      </w:r>
      <w:proofErr w:type="spellStart"/>
      <w:r w:rsidRPr="00DA745C">
        <w:rPr>
          <w:lang w:val="nl-NL"/>
        </w:rPr>
        <w:t>quantentheoretischen</w:t>
      </w:r>
      <w:proofErr w:type="spellEnd"/>
      <w:r w:rsidRPr="00DA745C">
        <w:rPr>
          <w:lang w:val="nl-NL"/>
        </w:rPr>
        <w:t xml:space="preserve"> Kinematik </w:t>
      </w:r>
      <w:proofErr w:type="spellStart"/>
      <w:r w:rsidRPr="00DA745C">
        <w:rPr>
          <w:lang w:val="nl-NL"/>
        </w:rPr>
        <w:t>und</w:t>
      </w:r>
      <w:proofErr w:type="spellEnd"/>
      <w:r w:rsidRPr="00DA745C">
        <w:rPr>
          <w:lang w:val="nl-NL"/>
        </w:rPr>
        <w:t xml:space="preserve"> </w:t>
      </w:r>
      <w:proofErr w:type="spellStart"/>
      <w:r w:rsidRPr="00DA745C">
        <w:rPr>
          <w:lang w:val="nl-NL"/>
        </w:rPr>
        <w:t>Mechanik</w:t>
      </w:r>
      <w:proofErr w:type="spellEnd"/>
      <w:r w:rsidRPr="00DA745C">
        <w:rPr>
          <w:lang w:val="nl-NL"/>
        </w:rPr>
        <w:t xml:space="preserve">.” </w:t>
      </w:r>
      <w:proofErr w:type="spellStart"/>
      <w:r w:rsidRPr="00DA745C">
        <w:rPr>
          <w:rFonts w:eastAsiaTheme="majorEastAsia"/>
          <w:i/>
          <w:iCs/>
        </w:rPr>
        <w:t>Zeitschrift</w:t>
      </w:r>
      <w:proofErr w:type="spellEnd"/>
      <w:r w:rsidRPr="00DA745C">
        <w:rPr>
          <w:rFonts w:eastAsiaTheme="majorEastAsia"/>
          <w:i/>
          <w:iCs/>
        </w:rPr>
        <w:t xml:space="preserve"> für </w:t>
      </w:r>
      <w:proofErr w:type="spellStart"/>
      <w:r w:rsidRPr="00DA745C">
        <w:rPr>
          <w:rFonts w:eastAsiaTheme="majorEastAsia"/>
          <w:i/>
          <w:iCs/>
        </w:rPr>
        <w:t>Physik</w:t>
      </w:r>
      <w:proofErr w:type="spellEnd"/>
      <w:r w:rsidRPr="00DA745C">
        <w:t xml:space="preserve">, </w:t>
      </w:r>
      <w:r w:rsidRPr="00DA745C">
        <w:rPr>
          <w:rFonts w:eastAsiaTheme="majorEastAsia"/>
          <w:b/>
          <w:bCs/>
        </w:rPr>
        <w:t>43</w:t>
      </w:r>
      <w:r w:rsidRPr="00DA745C">
        <w:t>, 172.</w:t>
      </w:r>
    </w:p>
    <w:p w14:paraId="6A815824" w14:textId="31310ED9" w:rsidR="00DA745C" w:rsidRPr="00DA745C" w:rsidRDefault="00DA745C" w:rsidP="003A5C99">
      <w:pPr>
        <w:pStyle w:val="NormalWeb"/>
        <w:numPr>
          <w:ilvl w:val="0"/>
          <w:numId w:val="8"/>
        </w:numPr>
        <w:spacing w:line="276" w:lineRule="auto"/>
        <w:ind w:right="-188"/>
      </w:pPr>
      <w:r w:rsidRPr="00DA745C">
        <w:t xml:space="preserve">von Neumann, J. (1932). </w:t>
      </w:r>
      <w:r w:rsidRPr="00DA745C">
        <w:rPr>
          <w:rFonts w:eastAsiaTheme="majorEastAsia"/>
          <w:i/>
          <w:iCs/>
        </w:rPr>
        <w:t>Mathematical Foundations of Quantum Mechanics</w:t>
      </w:r>
      <w:r w:rsidRPr="00DA745C">
        <w:t>. Princeton University Press.</w:t>
      </w:r>
    </w:p>
    <w:p w14:paraId="7F1F43CD" w14:textId="42136696" w:rsidR="00DA745C" w:rsidRPr="00DA745C" w:rsidRDefault="00DA745C" w:rsidP="003A5C99">
      <w:pPr>
        <w:pStyle w:val="NormalWeb"/>
        <w:numPr>
          <w:ilvl w:val="0"/>
          <w:numId w:val="8"/>
        </w:numPr>
        <w:spacing w:line="276" w:lineRule="auto"/>
        <w:ind w:right="-188"/>
      </w:pPr>
      <w:r w:rsidRPr="00DA745C">
        <w:t xml:space="preserve">Everett, H. (1957). “Relative State Formulation of Quantum Mechanics.” </w:t>
      </w:r>
      <w:r w:rsidRPr="00DA745C">
        <w:rPr>
          <w:rFonts w:eastAsiaTheme="majorEastAsia"/>
          <w:i/>
          <w:iCs/>
        </w:rPr>
        <w:t>Reviews of Modern Physics</w:t>
      </w:r>
      <w:r w:rsidRPr="00DA745C">
        <w:t xml:space="preserve">, </w:t>
      </w:r>
      <w:r w:rsidRPr="00DA745C">
        <w:rPr>
          <w:rFonts w:eastAsiaTheme="majorEastAsia"/>
          <w:b/>
          <w:bCs/>
        </w:rPr>
        <w:t>29</w:t>
      </w:r>
      <w:r w:rsidRPr="00DA745C">
        <w:t>, 454.</w:t>
      </w:r>
    </w:p>
    <w:p w14:paraId="6D7910CC" w14:textId="7D535477" w:rsidR="00DA745C" w:rsidRPr="00DA745C" w:rsidRDefault="00DA745C" w:rsidP="003A5C99">
      <w:pPr>
        <w:pStyle w:val="NormalWeb"/>
        <w:numPr>
          <w:ilvl w:val="0"/>
          <w:numId w:val="8"/>
        </w:numPr>
        <w:spacing w:line="276" w:lineRule="auto"/>
        <w:ind w:right="-188"/>
      </w:pPr>
      <w:r w:rsidRPr="00DA745C">
        <w:t xml:space="preserve">Bohm, D. (1952). “A Suggested Interpretation of the Quantum Theory in Terms of Hidden Variables.” </w:t>
      </w:r>
      <w:r w:rsidRPr="00DA745C">
        <w:rPr>
          <w:rFonts w:eastAsiaTheme="majorEastAsia"/>
          <w:i/>
          <w:iCs/>
        </w:rPr>
        <w:t>Physical Review</w:t>
      </w:r>
      <w:r w:rsidRPr="00DA745C">
        <w:t xml:space="preserve">, </w:t>
      </w:r>
      <w:r w:rsidRPr="00DA745C">
        <w:rPr>
          <w:rFonts w:eastAsiaTheme="majorEastAsia"/>
          <w:b/>
          <w:bCs/>
        </w:rPr>
        <w:t>85</w:t>
      </w:r>
      <w:r w:rsidRPr="00DA745C">
        <w:t>, 166.</w:t>
      </w:r>
    </w:p>
    <w:p w14:paraId="58864FBA" w14:textId="00DC607B" w:rsidR="00DA745C" w:rsidRPr="00DA745C" w:rsidRDefault="00DA745C" w:rsidP="003A5C99">
      <w:pPr>
        <w:pStyle w:val="NormalWeb"/>
        <w:numPr>
          <w:ilvl w:val="0"/>
          <w:numId w:val="8"/>
        </w:numPr>
        <w:spacing w:line="276" w:lineRule="auto"/>
        <w:ind w:right="-188"/>
      </w:pPr>
      <w:r w:rsidRPr="00DA745C">
        <w:t xml:space="preserve">Bell, J. S. (1964). “On the Einstein–Podolsky–Rosen Paradox.” </w:t>
      </w:r>
      <w:r w:rsidRPr="00DA745C">
        <w:rPr>
          <w:rFonts w:eastAsiaTheme="majorEastAsia"/>
          <w:i/>
          <w:iCs/>
        </w:rPr>
        <w:t>Physics</w:t>
      </w:r>
      <w:r w:rsidRPr="00DA745C">
        <w:t xml:space="preserve">, </w:t>
      </w:r>
      <w:r w:rsidRPr="00DA745C">
        <w:rPr>
          <w:rFonts w:eastAsiaTheme="majorEastAsia"/>
          <w:b/>
          <w:bCs/>
        </w:rPr>
        <w:t>1</w:t>
      </w:r>
      <w:r w:rsidRPr="00DA745C">
        <w:t>, 195.</w:t>
      </w:r>
    </w:p>
    <w:p w14:paraId="33AD88E2" w14:textId="216DFCEB" w:rsidR="00DA745C" w:rsidRPr="00DA745C" w:rsidRDefault="00DA745C" w:rsidP="003A5C99">
      <w:pPr>
        <w:pStyle w:val="NormalWeb"/>
        <w:numPr>
          <w:ilvl w:val="0"/>
          <w:numId w:val="8"/>
        </w:numPr>
        <w:spacing w:line="276" w:lineRule="auto"/>
        <w:ind w:right="-188"/>
      </w:pPr>
      <w:r w:rsidRPr="00DA745C">
        <w:t xml:space="preserve">Milgrom, M. (1983). “A Modification of the Newtonian Dynamics as a Possible Alternative to the Hidden Mass Hypothesis.” </w:t>
      </w:r>
      <w:r w:rsidRPr="00DA745C">
        <w:rPr>
          <w:rFonts w:eastAsiaTheme="majorEastAsia"/>
          <w:i/>
          <w:iCs/>
        </w:rPr>
        <w:t>Astrophysical Journal</w:t>
      </w:r>
      <w:r w:rsidRPr="00DA745C">
        <w:t xml:space="preserve">, </w:t>
      </w:r>
      <w:r w:rsidRPr="00DA745C">
        <w:rPr>
          <w:rFonts w:eastAsiaTheme="majorEastAsia"/>
          <w:b/>
          <w:bCs/>
        </w:rPr>
        <w:t>270</w:t>
      </w:r>
      <w:r w:rsidRPr="00DA745C">
        <w:t>, 365.</w:t>
      </w:r>
    </w:p>
    <w:p w14:paraId="236918AD" w14:textId="138C79A0" w:rsidR="00DA745C" w:rsidRPr="00DA745C" w:rsidRDefault="00DA745C" w:rsidP="003A5C99">
      <w:pPr>
        <w:pStyle w:val="NormalWeb"/>
        <w:numPr>
          <w:ilvl w:val="0"/>
          <w:numId w:val="8"/>
        </w:numPr>
        <w:spacing w:line="276" w:lineRule="auto"/>
        <w:ind w:right="-188"/>
      </w:pPr>
      <w:proofErr w:type="spellStart"/>
      <w:r w:rsidRPr="00DA745C">
        <w:t>Bekenstein</w:t>
      </w:r>
      <w:proofErr w:type="spellEnd"/>
      <w:r w:rsidRPr="00DA745C">
        <w:t xml:space="preserve">, J. D. (2004). “Relativistic Gravitation Theory for the MOND Paradigm.” </w:t>
      </w:r>
      <w:r w:rsidRPr="00DA745C">
        <w:rPr>
          <w:rFonts w:eastAsiaTheme="majorEastAsia"/>
          <w:i/>
          <w:iCs/>
        </w:rPr>
        <w:t>Physical Review D</w:t>
      </w:r>
      <w:r w:rsidRPr="00DA745C">
        <w:t xml:space="preserve">, </w:t>
      </w:r>
      <w:r w:rsidRPr="00DA745C">
        <w:rPr>
          <w:rFonts w:eastAsiaTheme="majorEastAsia"/>
          <w:b/>
          <w:bCs/>
        </w:rPr>
        <w:t>70</w:t>
      </w:r>
      <w:r w:rsidRPr="00DA745C">
        <w:t>, 083509.</w:t>
      </w:r>
    </w:p>
    <w:p w14:paraId="11E45EC5" w14:textId="0F229B39" w:rsidR="00DA745C" w:rsidRPr="00DA745C" w:rsidRDefault="00DA745C" w:rsidP="003A5C99">
      <w:pPr>
        <w:pStyle w:val="NormalWeb"/>
        <w:numPr>
          <w:ilvl w:val="0"/>
          <w:numId w:val="8"/>
        </w:numPr>
        <w:spacing w:line="276" w:lineRule="auto"/>
        <w:ind w:right="-188"/>
      </w:pPr>
      <w:r w:rsidRPr="00DA745C">
        <w:t xml:space="preserve">Moffat, J. W. (2006). “Scalar–Tensor–Vector Gravity Theory.” </w:t>
      </w:r>
      <w:r w:rsidRPr="00DA745C">
        <w:rPr>
          <w:rFonts w:eastAsiaTheme="majorEastAsia"/>
          <w:i/>
          <w:iCs/>
        </w:rPr>
        <w:t xml:space="preserve">Journal of Cosmology and </w:t>
      </w:r>
      <w:proofErr w:type="spellStart"/>
      <w:r w:rsidRPr="00DA745C">
        <w:rPr>
          <w:rFonts w:eastAsiaTheme="majorEastAsia"/>
          <w:i/>
          <w:iCs/>
        </w:rPr>
        <w:t>Astroparticle</w:t>
      </w:r>
      <w:proofErr w:type="spellEnd"/>
      <w:r w:rsidRPr="00DA745C">
        <w:rPr>
          <w:rFonts w:eastAsiaTheme="majorEastAsia"/>
          <w:i/>
          <w:iCs/>
        </w:rPr>
        <w:t xml:space="preserve"> Physics</w:t>
      </w:r>
      <w:r w:rsidRPr="00DA745C">
        <w:t xml:space="preserve">, </w:t>
      </w:r>
      <w:r w:rsidRPr="00DA745C">
        <w:rPr>
          <w:rFonts w:eastAsiaTheme="majorEastAsia"/>
          <w:b/>
          <w:bCs/>
        </w:rPr>
        <w:t>2006</w:t>
      </w:r>
      <w:r w:rsidRPr="00DA745C">
        <w:t>(03), 004.</w:t>
      </w:r>
    </w:p>
    <w:p w14:paraId="01146EB5" w14:textId="3DA99C5B" w:rsidR="00DA745C" w:rsidRPr="00DA745C" w:rsidRDefault="00DA745C" w:rsidP="003A5C99">
      <w:pPr>
        <w:pStyle w:val="NormalWeb"/>
        <w:numPr>
          <w:ilvl w:val="0"/>
          <w:numId w:val="8"/>
        </w:numPr>
        <w:spacing w:line="276" w:lineRule="auto"/>
        <w:ind w:right="-188"/>
      </w:pPr>
      <w:r w:rsidRPr="00DA745C">
        <w:t xml:space="preserve">Mannheim, P. D. (2006). “Alternatives to Dark Matter and Dark Energy.” </w:t>
      </w:r>
      <w:r w:rsidRPr="00DA745C">
        <w:rPr>
          <w:rFonts w:eastAsiaTheme="majorEastAsia"/>
          <w:i/>
          <w:iCs/>
        </w:rPr>
        <w:t>Progress in Particle and Nuclear Physics</w:t>
      </w:r>
      <w:r w:rsidRPr="00DA745C">
        <w:t xml:space="preserve">, </w:t>
      </w:r>
      <w:r w:rsidRPr="00DA745C">
        <w:rPr>
          <w:rFonts w:eastAsiaTheme="majorEastAsia"/>
          <w:b/>
          <w:bCs/>
        </w:rPr>
        <w:t>56</w:t>
      </w:r>
      <w:r w:rsidRPr="00DA745C">
        <w:t>, 340.</w:t>
      </w:r>
    </w:p>
    <w:p w14:paraId="07E7BFA4" w14:textId="2EE02B8F" w:rsidR="00DA745C" w:rsidRPr="00DA745C" w:rsidRDefault="00DA745C" w:rsidP="003A5C99">
      <w:pPr>
        <w:pStyle w:val="NormalWeb"/>
        <w:numPr>
          <w:ilvl w:val="0"/>
          <w:numId w:val="8"/>
        </w:numPr>
        <w:spacing w:line="276" w:lineRule="auto"/>
        <w:ind w:right="-188"/>
      </w:pPr>
      <w:r w:rsidRPr="00DA745C">
        <w:t xml:space="preserve">Verlinde, E. (2017). “Emergent Gravity and the Dark Universe.” </w:t>
      </w:r>
      <w:r w:rsidRPr="00DA745C">
        <w:rPr>
          <w:rFonts w:eastAsiaTheme="majorEastAsia"/>
          <w:i/>
          <w:iCs/>
        </w:rPr>
        <w:t>SciPost Physics</w:t>
      </w:r>
      <w:r w:rsidRPr="00DA745C">
        <w:t xml:space="preserve">, </w:t>
      </w:r>
      <w:r w:rsidRPr="00DA745C">
        <w:rPr>
          <w:rFonts w:eastAsiaTheme="majorEastAsia"/>
          <w:b/>
          <w:bCs/>
        </w:rPr>
        <w:t>2</w:t>
      </w:r>
      <w:r w:rsidRPr="00DA745C">
        <w:t>, 016.</w:t>
      </w:r>
    </w:p>
    <w:p w14:paraId="60AFBEA9" w14:textId="68F3DCAC" w:rsidR="00DA745C" w:rsidRPr="00DA745C" w:rsidRDefault="00DA745C" w:rsidP="003A5C99">
      <w:pPr>
        <w:pStyle w:val="NormalWeb"/>
        <w:numPr>
          <w:ilvl w:val="0"/>
          <w:numId w:val="8"/>
        </w:numPr>
        <w:spacing w:line="276" w:lineRule="auto"/>
        <w:ind w:right="-188"/>
      </w:pPr>
      <w:r w:rsidRPr="00DA745C">
        <w:t xml:space="preserve">Dirac, P. A. M. (1937). “The Cosmological Constants.” </w:t>
      </w:r>
      <w:r w:rsidRPr="00DA745C">
        <w:rPr>
          <w:rFonts w:eastAsiaTheme="majorEastAsia"/>
          <w:i/>
          <w:iCs/>
        </w:rPr>
        <w:t>Nature</w:t>
      </w:r>
      <w:r w:rsidRPr="00DA745C">
        <w:t xml:space="preserve">, </w:t>
      </w:r>
      <w:r w:rsidRPr="00DA745C">
        <w:rPr>
          <w:rFonts w:eastAsiaTheme="majorEastAsia"/>
          <w:b/>
          <w:bCs/>
        </w:rPr>
        <w:t>139</w:t>
      </w:r>
      <w:r w:rsidRPr="00DA745C">
        <w:t>, 323.</w:t>
      </w:r>
    </w:p>
    <w:p w14:paraId="513234B2" w14:textId="6E659683" w:rsidR="00DA745C" w:rsidRPr="00DA745C" w:rsidRDefault="00DA745C" w:rsidP="003A5C99">
      <w:pPr>
        <w:pStyle w:val="NormalWeb"/>
        <w:numPr>
          <w:ilvl w:val="0"/>
          <w:numId w:val="8"/>
        </w:numPr>
        <w:spacing w:line="276" w:lineRule="auto"/>
        <w:ind w:right="-188"/>
      </w:pPr>
      <w:r w:rsidRPr="00DA745C">
        <w:t xml:space="preserve">Weinberg, S. (1972). </w:t>
      </w:r>
      <w:r w:rsidRPr="00DA745C">
        <w:rPr>
          <w:rFonts w:eastAsiaTheme="majorEastAsia"/>
          <w:i/>
          <w:iCs/>
        </w:rPr>
        <w:t>Gravitation and Cosmology</w:t>
      </w:r>
      <w:r w:rsidRPr="00DA745C">
        <w:t>. Wiley.</w:t>
      </w:r>
    </w:p>
    <w:p w14:paraId="0E1C63FD" w14:textId="4A4C0C3C" w:rsidR="00DA745C" w:rsidRPr="00DA745C" w:rsidRDefault="00DA745C" w:rsidP="003A5C99">
      <w:pPr>
        <w:pStyle w:val="NormalWeb"/>
        <w:numPr>
          <w:ilvl w:val="0"/>
          <w:numId w:val="8"/>
        </w:numPr>
        <w:spacing w:line="276" w:lineRule="auto"/>
        <w:ind w:right="-188"/>
      </w:pPr>
      <w:r w:rsidRPr="00DA745C">
        <w:t xml:space="preserve">Guth, A. H. (1981). “Inflationary Universe: A Possible Solution to the Horizon and Flatness Problems.” </w:t>
      </w:r>
      <w:r w:rsidRPr="00DA745C">
        <w:rPr>
          <w:rFonts w:eastAsiaTheme="majorEastAsia"/>
          <w:i/>
          <w:iCs/>
        </w:rPr>
        <w:t>Physical Review D</w:t>
      </w:r>
      <w:r w:rsidRPr="00DA745C">
        <w:t xml:space="preserve">, </w:t>
      </w:r>
      <w:r w:rsidRPr="00DA745C">
        <w:rPr>
          <w:rFonts w:eastAsiaTheme="majorEastAsia"/>
          <w:b/>
          <w:bCs/>
        </w:rPr>
        <w:t>23</w:t>
      </w:r>
      <w:r w:rsidRPr="00DA745C">
        <w:t>, 347.</w:t>
      </w:r>
    </w:p>
    <w:p w14:paraId="723493C9" w14:textId="627E4252" w:rsidR="00DA745C" w:rsidRPr="00DA745C" w:rsidRDefault="00DA745C" w:rsidP="003A5C99">
      <w:pPr>
        <w:pStyle w:val="NormalWeb"/>
        <w:numPr>
          <w:ilvl w:val="0"/>
          <w:numId w:val="8"/>
        </w:numPr>
        <w:spacing w:line="276" w:lineRule="auto"/>
        <w:ind w:right="-188"/>
      </w:pPr>
      <w:proofErr w:type="spellStart"/>
      <w:r w:rsidRPr="00DA745C">
        <w:rPr>
          <w:lang w:val="sv-SE"/>
        </w:rPr>
        <w:t>Hawking</w:t>
      </w:r>
      <w:proofErr w:type="spellEnd"/>
      <w:r w:rsidRPr="00DA745C">
        <w:rPr>
          <w:lang w:val="sv-SE"/>
        </w:rPr>
        <w:t xml:space="preserve">, S. W., &amp; Ellis, G. F. R. (1973). </w:t>
      </w:r>
      <w:r w:rsidRPr="00DA745C">
        <w:rPr>
          <w:rFonts w:eastAsiaTheme="majorEastAsia"/>
          <w:i/>
          <w:iCs/>
        </w:rPr>
        <w:t>The Large-Scale Structure of Space-Time</w:t>
      </w:r>
      <w:r w:rsidRPr="00DA745C">
        <w:t>. Cambridge University Press.</w:t>
      </w:r>
    </w:p>
    <w:p w14:paraId="66166CAB" w14:textId="20C32C8B" w:rsidR="00DA745C" w:rsidRPr="00DA745C" w:rsidRDefault="00DA745C" w:rsidP="003A5C99">
      <w:pPr>
        <w:pStyle w:val="NormalWeb"/>
        <w:numPr>
          <w:ilvl w:val="0"/>
          <w:numId w:val="8"/>
        </w:numPr>
        <w:spacing w:line="276" w:lineRule="auto"/>
        <w:ind w:right="-188"/>
      </w:pPr>
      <w:r w:rsidRPr="00DA745C">
        <w:t xml:space="preserve">Carroll, S. M. (2001). “The Cosmological Constant.” </w:t>
      </w:r>
      <w:r w:rsidRPr="00DA745C">
        <w:rPr>
          <w:rFonts w:eastAsiaTheme="majorEastAsia"/>
          <w:i/>
          <w:iCs/>
        </w:rPr>
        <w:t>Living Reviews in Relativity</w:t>
      </w:r>
      <w:r w:rsidRPr="00DA745C">
        <w:t xml:space="preserve">, </w:t>
      </w:r>
      <w:r w:rsidRPr="00DA745C">
        <w:rPr>
          <w:rFonts w:eastAsiaTheme="majorEastAsia"/>
          <w:b/>
          <w:bCs/>
        </w:rPr>
        <w:t>4</w:t>
      </w:r>
      <w:r w:rsidRPr="00DA745C">
        <w:t>, 1.</w:t>
      </w:r>
    </w:p>
    <w:p w14:paraId="0553D6A2" w14:textId="7A90816C" w:rsidR="00DA745C" w:rsidRPr="00DA745C" w:rsidRDefault="00DA745C" w:rsidP="003A5C99">
      <w:pPr>
        <w:pStyle w:val="NormalWeb"/>
        <w:numPr>
          <w:ilvl w:val="0"/>
          <w:numId w:val="8"/>
        </w:numPr>
        <w:spacing w:line="276" w:lineRule="auto"/>
        <w:ind w:right="-188"/>
      </w:pPr>
      <w:r w:rsidRPr="00DA745C">
        <w:t xml:space="preserve">Rovelli, C. (2004). </w:t>
      </w:r>
      <w:r w:rsidRPr="00DA745C">
        <w:rPr>
          <w:rFonts w:eastAsiaTheme="majorEastAsia"/>
          <w:i/>
          <w:iCs/>
        </w:rPr>
        <w:t>Quantum Gravity</w:t>
      </w:r>
      <w:r w:rsidRPr="00DA745C">
        <w:t>. Cambridge University Press.</w:t>
      </w:r>
    </w:p>
    <w:p w14:paraId="7C5DB7A6" w14:textId="14C1FD87" w:rsidR="00DA745C" w:rsidRPr="00DA745C" w:rsidRDefault="00DA745C" w:rsidP="003A5C99">
      <w:pPr>
        <w:pStyle w:val="NormalWeb"/>
        <w:numPr>
          <w:ilvl w:val="0"/>
          <w:numId w:val="8"/>
        </w:numPr>
        <w:spacing w:line="276" w:lineRule="auto"/>
        <w:ind w:right="-188"/>
      </w:pPr>
      <w:proofErr w:type="spellStart"/>
      <w:r w:rsidRPr="00DA745C">
        <w:t>Hossenfelder</w:t>
      </w:r>
      <w:proofErr w:type="spellEnd"/>
      <w:r w:rsidRPr="00DA745C">
        <w:t xml:space="preserve">, S. (2018). </w:t>
      </w:r>
      <w:r w:rsidRPr="00DA745C">
        <w:rPr>
          <w:rFonts w:eastAsiaTheme="majorEastAsia"/>
          <w:i/>
          <w:iCs/>
        </w:rPr>
        <w:t>Lost in Math: How Beauty Leads Physics Astray</w:t>
      </w:r>
      <w:r w:rsidRPr="00DA745C">
        <w:t>. Basic Books.</w:t>
      </w:r>
    </w:p>
    <w:p w14:paraId="325B615A" w14:textId="7127F018" w:rsidR="00DA745C" w:rsidRPr="00DA745C" w:rsidRDefault="00DA745C" w:rsidP="003A5C99">
      <w:pPr>
        <w:pStyle w:val="NormalWeb"/>
        <w:numPr>
          <w:ilvl w:val="0"/>
          <w:numId w:val="8"/>
        </w:numPr>
        <w:spacing w:line="276" w:lineRule="auto"/>
        <w:ind w:right="-188"/>
      </w:pPr>
      <w:r w:rsidRPr="00DA745C">
        <w:t xml:space="preserve">Padmanabhan, T. (2010). “Thermodynamical Aspects of Gravity.” </w:t>
      </w:r>
      <w:r w:rsidRPr="00DA745C">
        <w:rPr>
          <w:rFonts w:eastAsiaTheme="majorEastAsia"/>
          <w:i/>
          <w:iCs/>
        </w:rPr>
        <w:t>Reports on Progress in Physics</w:t>
      </w:r>
      <w:r w:rsidRPr="00DA745C">
        <w:t xml:space="preserve">, </w:t>
      </w:r>
      <w:r w:rsidRPr="00DA745C">
        <w:rPr>
          <w:rFonts w:eastAsiaTheme="majorEastAsia"/>
          <w:b/>
          <w:bCs/>
        </w:rPr>
        <w:t>73</w:t>
      </w:r>
      <w:r w:rsidRPr="00DA745C">
        <w:t>, 046901.</w:t>
      </w:r>
    </w:p>
    <w:p w14:paraId="76B291E2" w14:textId="2432B092" w:rsidR="00DA745C" w:rsidRPr="00DA745C" w:rsidRDefault="00DA745C" w:rsidP="003A5C99">
      <w:pPr>
        <w:pStyle w:val="NormalWeb"/>
        <w:numPr>
          <w:ilvl w:val="0"/>
          <w:numId w:val="8"/>
        </w:numPr>
        <w:spacing w:line="276" w:lineRule="auto"/>
        <w:ind w:right="-188"/>
      </w:pPr>
      <w:r w:rsidRPr="00DA745C">
        <w:t xml:space="preserve">Verlinde, E. (2011). “On the Origin of Gravity and the Laws of Newton.” </w:t>
      </w:r>
      <w:r w:rsidRPr="00DA745C">
        <w:rPr>
          <w:rFonts w:eastAsiaTheme="majorEastAsia"/>
          <w:i/>
          <w:iCs/>
        </w:rPr>
        <w:t>Journal of High Energy Physics</w:t>
      </w:r>
      <w:r w:rsidRPr="00DA745C">
        <w:t xml:space="preserve">, </w:t>
      </w:r>
      <w:r w:rsidRPr="00DA745C">
        <w:rPr>
          <w:rFonts w:eastAsiaTheme="majorEastAsia"/>
          <w:b/>
          <w:bCs/>
        </w:rPr>
        <w:t>2011</w:t>
      </w:r>
      <w:r w:rsidRPr="00DA745C">
        <w:t>(04), 029.</w:t>
      </w:r>
    </w:p>
    <w:p w14:paraId="3B93834A" w14:textId="47ACA196" w:rsidR="00DA745C" w:rsidRPr="00DA745C" w:rsidRDefault="00DA745C" w:rsidP="003A5C99">
      <w:pPr>
        <w:pStyle w:val="NormalWeb"/>
        <w:numPr>
          <w:ilvl w:val="0"/>
          <w:numId w:val="8"/>
        </w:numPr>
        <w:spacing w:line="276" w:lineRule="auto"/>
        <w:ind w:right="-188"/>
      </w:pPr>
      <w:proofErr w:type="spellStart"/>
      <w:r w:rsidRPr="00DA745C">
        <w:t>Hossenfelder</w:t>
      </w:r>
      <w:proofErr w:type="spellEnd"/>
      <w:r w:rsidRPr="00DA745C">
        <w:t xml:space="preserve">, S. (2017). “Covariant Version of Verlinde’s Emergent Gravity.” </w:t>
      </w:r>
      <w:r w:rsidRPr="00DA745C">
        <w:rPr>
          <w:rFonts w:eastAsiaTheme="majorEastAsia"/>
          <w:i/>
          <w:iCs/>
        </w:rPr>
        <w:t>Physical Review D</w:t>
      </w:r>
      <w:r w:rsidRPr="00DA745C">
        <w:t xml:space="preserve">, </w:t>
      </w:r>
      <w:r w:rsidRPr="00DA745C">
        <w:rPr>
          <w:rFonts w:eastAsiaTheme="majorEastAsia"/>
          <w:b/>
          <w:bCs/>
        </w:rPr>
        <w:t>95</w:t>
      </w:r>
      <w:r w:rsidRPr="00DA745C">
        <w:t>, 124018.</w:t>
      </w:r>
    </w:p>
    <w:p w14:paraId="228D1632" w14:textId="4C658712" w:rsidR="00857BC0" w:rsidRDefault="00DA745C" w:rsidP="003A5C99">
      <w:pPr>
        <w:pStyle w:val="NormalWeb"/>
        <w:numPr>
          <w:ilvl w:val="0"/>
          <w:numId w:val="8"/>
        </w:numPr>
        <w:spacing w:line="276" w:lineRule="auto"/>
      </w:pPr>
      <w:r w:rsidRPr="00DA745C">
        <w:t xml:space="preserve">McGaugh, S. (2020). “A Tale of Two Paradigms: The Rise of MOND and Dark Matter.” </w:t>
      </w:r>
      <w:r w:rsidRPr="00DA745C">
        <w:rPr>
          <w:rFonts w:eastAsiaTheme="majorEastAsia"/>
          <w:i/>
          <w:iCs/>
        </w:rPr>
        <w:t>Galaxies</w:t>
      </w:r>
      <w:r w:rsidRPr="00DA745C">
        <w:t xml:space="preserve">, </w:t>
      </w:r>
      <w:r w:rsidRPr="00DA745C">
        <w:rPr>
          <w:rFonts w:eastAsiaTheme="majorEastAsia"/>
          <w:b/>
          <w:bCs/>
        </w:rPr>
        <w:t>8</w:t>
      </w:r>
      <w:r w:rsidRPr="00DA745C">
        <w:t>(2), 35.</w:t>
      </w:r>
    </w:p>
    <w:p w14:paraId="4CDB765E" w14:textId="642C3715" w:rsidR="006F210F" w:rsidRPr="005D23AE" w:rsidRDefault="00D62ED3" w:rsidP="005D23AE">
      <w:pPr>
        <w:pStyle w:val="NormalWeb"/>
        <w:numPr>
          <w:ilvl w:val="0"/>
          <w:numId w:val="8"/>
        </w:numPr>
        <w:spacing w:line="276" w:lineRule="auto"/>
      </w:pPr>
      <w:r w:rsidRPr="00D62ED3">
        <w:t xml:space="preserve">Warne, K. J. (2026). </w:t>
      </w:r>
      <w:r w:rsidRPr="00D62ED3">
        <w:rPr>
          <w:i/>
          <w:iCs/>
        </w:rPr>
        <w:t>4D Projection-Limit Geometric Formulation (Preprint Version).</w:t>
      </w:r>
      <w:r w:rsidRPr="00D62ED3">
        <w:t xml:space="preserve"> </w:t>
      </w:r>
      <w:proofErr w:type="spellStart"/>
      <w:r w:rsidRPr="00D62ED3">
        <w:t>Zenodo</w:t>
      </w:r>
      <w:proofErr w:type="spellEnd"/>
      <w:r w:rsidRPr="00D62ED3">
        <w:t xml:space="preserve">. </w:t>
      </w:r>
      <w:hyperlink r:id="rId15" w:history="1">
        <w:r w:rsidR="00B30C0D">
          <w:rPr>
            <w:rStyle w:val="Hyperlink"/>
          </w:rPr>
          <w:t>https://zenodo.org/records/18772837</w:t>
        </w:r>
      </w:hyperlink>
    </w:p>
    <w:sectPr w:rsidR="006F210F" w:rsidRPr="005D23AE">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FCEFE" w14:textId="77777777" w:rsidR="00590CF8" w:rsidRDefault="00590CF8" w:rsidP="00F62CA9">
      <w:pPr>
        <w:spacing w:after="0" w:line="240" w:lineRule="auto"/>
      </w:pPr>
      <w:r>
        <w:separator/>
      </w:r>
    </w:p>
  </w:endnote>
  <w:endnote w:type="continuationSeparator" w:id="0">
    <w:p w14:paraId="4927CE59" w14:textId="77777777" w:rsidR="00590CF8" w:rsidRDefault="00590CF8" w:rsidP="00F62CA9">
      <w:pPr>
        <w:spacing w:after="0" w:line="240" w:lineRule="auto"/>
      </w:pPr>
      <w:r>
        <w:continuationSeparator/>
      </w:r>
    </w:p>
  </w:endnote>
  <w:endnote w:type="continuationNotice" w:id="1">
    <w:p w14:paraId="5BDCB9DA" w14:textId="77777777" w:rsidR="00590CF8" w:rsidRDefault="00590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3926450"/>
      <w:docPartObj>
        <w:docPartGallery w:val="Page Numbers (Bottom of Page)"/>
        <w:docPartUnique/>
      </w:docPartObj>
    </w:sdtPr>
    <w:sdtEndPr>
      <w:rPr>
        <w:noProof/>
      </w:rPr>
    </w:sdtEndPr>
    <w:sdtContent>
      <w:p w14:paraId="1B54520E" w14:textId="0671B983" w:rsidR="00F62CA9" w:rsidRDefault="00F62C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78A09E" w14:textId="77777777" w:rsidR="00F62CA9" w:rsidRDefault="00F62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12528" w14:textId="77777777" w:rsidR="00590CF8" w:rsidRDefault="00590CF8" w:rsidP="00F62CA9">
      <w:pPr>
        <w:spacing w:after="0" w:line="240" w:lineRule="auto"/>
      </w:pPr>
      <w:r>
        <w:separator/>
      </w:r>
    </w:p>
  </w:footnote>
  <w:footnote w:type="continuationSeparator" w:id="0">
    <w:p w14:paraId="47176272" w14:textId="77777777" w:rsidR="00590CF8" w:rsidRDefault="00590CF8" w:rsidP="00F62CA9">
      <w:pPr>
        <w:spacing w:after="0" w:line="240" w:lineRule="auto"/>
      </w:pPr>
      <w:r>
        <w:continuationSeparator/>
      </w:r>
    </w:p>
  </w:footnote>
  <w:footnote w:type="continuationNotice" w:id="1">
    <w:p w14:paraId="1737EA88" w14:textId="77777777" w:rsidR="00590CF8" w:rsidRDefault="00590C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3602B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17B4C"/>
    <w:multiLevelType w:val="multilevel"/>
    <w:tmpl w:val="B560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C1A4B"/>
    <w:multiLevelType w:val="hybridMultilevel"/>
    <w:tmpl w:val="D82CA1D4"/>
    <w:lvl w:ilvl="0" w:tplc="4FDE4B3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07D774D9"/>
    <w:multiLevelType w:val="hybridMultilevel"/>
    <w:tmpl w:val="32788BB4"/>
    <w:lvl w:ilvl="0" w:tplc="07280C82">
      <w:start w:val="1"/>
      <w:numFmt w:val="bullet"/>
      <w:lvlText w:val=""/>
      <w:lvlJc w:val="left"/>
      <w:pPr>
        <w:ind w:left="1004" w:hanging="360"/>
      </w:pPr>
      <w:rPr>
        <w:rFonts w:ascii="Symbol" w:hAnsi="Symbol" w:hint="default"/>
        <w:sz w:val="20"/>
        <w:szCs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97270E"/>
    <w:multiLevelType w:val="hybridMultilevel"/>
    <w:tmpl w:val="FDD47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A1465"/>
    <w:multiLevelType w:val="hybridMultilevel"/>
    <w:tmpl w:val="6D18946C"/>
    <w:lvl w:ilvl="0" w:tplc="62D4BA7E">
      <w:start w:val="1"/>
      <w:numFmt w:val="decimal"/>
      <w:lvlText w:val="%1."/>
      <w:lvlJc w:val="left"/>
      <w:pPr>
        <w:ind w:left="502" w:hanging="360"/>
      </w:pPr>
      <w:rPr>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8302BE"/>
    <w:multiLevelType w:val="hybridMultilevel"/>
    <w:tmpl w:val="D3982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2E25EF"/>
    <w:multiLevelType w:val="multilevel"/>
    <w:tmpl w:val="FC227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612211"/>
    <w:multiLevelType w:val="multilevel"/>
    <w:tmpl w:val="3E107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372E6"/>
    <w:multiLevelType w:val="hybridMultilevel"/>
    <w:tmpl w:val="47166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11C14"/>
    <w:multiLevelType w:val="hybridMultilevel"/>
    <w:tmpl w:val="75967912"/>
    <w:lvl w:ilvl="0" w:tplc="A1EE98E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91148A0"/>
    <w:multiLevelType w:val="hybridMultilevel"/>
    <w:tmpl w:val="AA786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464A39"/>
    <w:multiLevelType w:val="multilevel"/>
    <w:tmpl w:val="50E4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3675C"/>
    <w:multiLevelType w:val="hybridMultilevel"/>
    <w:tmpl w:val="157ED24E"/>
    <w:lvl w:ilvl="0" w:tplc="10FABD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B7464"/>
    <w:multiLevelType w:val="hybridMultilevel"/>
    <w:tmpl w:val="FC68E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C1E7B"/>
    <w:multiLevelType w:val="hybridMultilevel"/>
    <w:tmpl w:val="169CB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EF09E6"/>
    <w:multiLevelType w:val="hybridMultilevel"/>
    <w:tmpl w:val="BF804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D03C5"/>
    <w:multiLevelType w:val="hybridMultilevel"/>
    <w:tmpl w:val="3AB81932"/>
    <w:lvl w:ilvl="0" w:tplc="8476283E">
      <w:numFmt w:val="bullet"/>
      <w:lvlText w:val="•"/>
      <w:lvlJc w:val="left"/>
      <w:pPr>
        <w:ind w:left="870" w:hanging="51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E49A6"/>
    <w:multiLevelType w:val="multilevel"/>
    <w:tmpl w:val="5532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ED5391"/>
    <w:multiLevelType w:val="multilevel"/>
    <w:tmpl w:val="3F481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1228DC"/>
    <w:multiLevelType w:val="hybridMultilevel"/>
    <w:tmpl w:val="88280B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72A13A8"/>
    <w:multiLevelType w:val="hybridMultilevel"/>
    <w:tmpl w:val="AD449E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082634"/>
    <w:multiLevelType w:val="multilevel"/>
    <w:tmpl w:val="C24C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4215B0"/>
    <w:multiLevelType w:val="hybridMultilevel"/>
    <w:tmpl w:val="5A6C4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D22D6B"/>
    <w:multiLevelType w:val="multilevel"/>
    <w:tmpl w:val="383E0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E7009A"/>
    <w:multiLevelType w:val="multilevel"/>
    <w:tmpl w:val="98187EB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6" w15:restartNumberingAfterBreak="0">
    <w:nsid w:val="53A36E1D"/>
    <w:multiLevelType w:val="multilevel"/>
    <w:tmpl w:val="5114B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0B7E0D"/>
    <w:multiLevelType w:val="hybridMultilevel"/>
    <w:tmpl w:val="109EC0E4"/>
    <w:lvl w:ilvl="0" w:tplc="8476283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A81570"/>
    <w:multiLevelType w:val="hybridMultilevel"/>
    <w:tmpl w:val="2EA4BC1C"/>
    <w:lvl w:ilvl="0" w:tplc="15DE3FB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8C1E0E"/>
    <w:multiLevelType w:val="hybridMultilevel"/>
    <w:tmpl w:val="5224C506"/>
    <w:lvl w:ilvl="0" w:tplc="9426FF3C">
      <w:start w:val="1"/>
      <w:numFmt w:val="upperLetter"/>
      <w:lvlText w:val="(%1)"/>
      <w:lvlJc w:val="left"/>
      <w:pPr>
        <w:ind w:left="810" w:hanging="45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82062D"/>
    <w:multiLevelType w:val="multilevel"/>
    <w:tmpl w:val="E1FC3E3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3F5576"/>
    <w:multiLevelType w:val="hybridMultilevel"/>
    <w:tmpl w:val="C68801A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27E47FC"/>
    <w:multiLevelType w:val="hybridMultilevel"/>
    <w:tmpl w:val="8D9E740C"/>
    <w:lvl w:ilvl="0" w:tplc="845680E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4B6F98"/>
    <w:multiLevelType w:val="hybridMultilevel"/>
    <w:tmpl w:val="C41031DA"/>
    <w:lvl w:ilvl="0" w:tplc="8476283E">
      <w:numFmt w:val="bullet"/>
      <w:lvlText w:val="•"/>
      <w:lvlJc w:val="left"/>
      <w:pPr>
        <w:ind w:left="1230" w:hanging="51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D5368BB"/>
    <w:multiLevelType w:val="hybridMultilevel"/>
    <w:tmpl w:val="499C4E74"/>
    <w:lvl w:ilvl="0" w:tplc="8476283E">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4F102E3"/>
    <w:multiLevelType w:val="hybridMultilevel"/>
    <w:tmpl w:val="E612E9D8"/>
    <w:lvl w:ilvl="0" w:tplc="9044178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8518679">
    <w:abstractNumId w:val="0"/>
  </w:num>
  <w:num w:numId="2" w16cid:durableId="1886719243">
    <w:abstractNumId w:val="5"/>
  </w:num>
  <w:num w:numId="3" w16cid:durableId="1595354865">
    <w:abstractNumId w:val="13"/>
  </w:num>
  <w:num w:numId="4" w16cid:durableId="104735916">
    <w:abstractNumId w:val="24"/>
  </w:num>
  <w:num w:numId="5" w16cid:durableId="1503886197">
    <w:abstractNumId w:val="19"/>
  </w:num>
  <w:num w:numId="6" w16cid:durableId="431243163">
    <w:abstractNumId w:val="30"/>
  </w:num>
  <w:num w:numId="7" w16cid:durableId="89862782">
    <w:abstractNumId w:val="29"/>
  </w:num>
  <w:num w:numId="8" w16cid:durableId="514460766">
    <w:abstractNumId w:val="20"/>
  </w:num>
  <w:num w:numId="9" w16cid:durableId="484397278">
    <w:abstractNumId w:val="2"/>
  </w:num>
  <w:num w:numId="10" w16cid:durableId="366181165">
    <w:abstractNumId w:val="10"/>
  </w:num>
  <w:num w:numId="11" w16cid:durableId="1958102082">
    <w:abstractNumId w:val="7"/>
  </w:num>
  <w:num w:numId="12" w16cid:durableId="1069419241">
    <w:abstractNumId w:val="21"/>
  </w:num>
  <w:num w:numId="13" w16cid:durableId="769274236">
    <w:abstractNumId w:val="6"/>
  </w:num>
  <w:num w:numId="14" w16cid:durableId="620845002">
    <w:abstractNumId w:val="25"/>
  </w:num>
  <w:num w:numId="15" w16cid:durableId="2079210594">
    <w:abstractNumId w:val="22"/>
  </w:num>
  <w:num w:numId="16" w16cid:durableId="377243189">
    <w:abstractNumId w:val="18"/>
  </w:num>
  <w:num w:numId="17" w16cid:durableId="731344276">
    <w:abstractNumId w:val="9"/>
  </w:num>
  <w:num w:numId="18" w16cid:durableId="1209797567">
    <w:abstractNumId w:val="32"/>
  </w:num>
  <w:num w:numId="19" w16cid:durableId="365713953">
    <w:abstractNumId w:val="28"/>
  </w:num>
  <w:num w:numId="20" w16cid:durableId="2115517220">
    <w:abstractNumId w:val="1"/>
  </w:num>
  <w:num w:numId="21" w16cid:durableId="2083329853">
    <w:abstractNumId w:val="23"/>
  </w:num>
  <w:num w:numId="22" w16cid:durableId="1279679143">
    <w:abstractNumId w:val="3"/>
  </w:num>
  <w:num w:numId="23" w16cid:durableId="91555255">
    <w:abstractNumId w:val="26"/>
  </w:num>
  <w:num w:numId="24" w16cid:durableId="1917934055">
    <w:abstractNumId w:val="8"/>
  </w:num>
  <w:num w:numId="25" w16cid:durableId="1505589625">
    <w:abstractNumId w:val="35"/>
  </w:num>
  <w:num w:numId="26" w16cid:durableId="412514127">
    <w:abstractNumId w:val="31"/>
  </w:num>
  <w:num w:numId="27" w16cid:durableId="540438115">
    <w:abstractNumId w:val="11"/>
  </w:num>
  <w:num w:numId="28" w16cid:durableId="1921674998">
    <w:abstractNumId w:val="16"/>
  </w:num>
  <w:num w:numId="29" w16cid:durableId="1414275604">
    <w:abstractNumId w:val="15"/>
  </w:num>
  <w:num w:numId="30" w16cid:durableId="1888682221">
    <w:abstractNumId w:val="14"/>
  </w:num>
  <w:num w:numId="31" w16cid:durableId="1245915540">
    <w:abstractNumId w:val="17"/>
  </w:num>
  <w:num w:numId="32" w16cid:durableId="1797064980">
    <w:abstractNumId w:val="33"/>
  </w:num>
  <w:num w:numId="33" w16cid:durableId="1167014100">
    <w:abstractNumId w:val="34"/>
  </w:num>
  <w:num w:numId="34" w16cid:durableId="2014718089">
    <w:abstractNumId w:val="27"/>
  </w:num>
  <w:num w:numId="35" w16cid:durableId="306514000">
    <w:abstractNumId w:val="12"/>
  </w:num>
  <w:num w:numId="36" w16cid:durableId="16573406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CA9"/>
    <w:rsid w:val="000028C9"/>
    <w:rsid w:val="0000302B"/>
    <w:rsid w:val="0000302D"/>
    <w:rsid w:val="00005882"/>
    <w:rsid w:val="00006619"/>
    <w:rsid w:val="00007BBC"/>
    <w:rsid w:val="00011747"/>
    <w:rsid w:val="0001202C"/>
    <w:rsid w:val="00013FCE"/>
    <w:rsid w:val="00014403"/>
    <w:rsid w:val="00014FC2"/>
    <w:rsid w:val="00016640"/>
    <w:rsid w:val="00016EB7"/>
    <w:rsid w:val="00020DC3"/>
    <w:rsid w:val="00022133"/>
    <w:rsid w:val="00022B8D"/>
    <w:rsid w:val="0002341A"/>
    <w:rsid w:val="00024BE8"/>
    <w:rsid w:val="00025267"/>
    <w:rsid w:val="00025941"/>
    <w:rsid w:val="000271C6"/>
    <w:rsid w:val="00030442"/>
    <w:rsid w:val="00031B95"/>
    <w:rsid w:val="000323F2"/>
    <w:rsid w:val="00035EC3"/>
    <w:rsid w:val="00036540"/>
    <w:rsid w:val="00036F23"/>
    <w:rsid w:val="0003742A"/>
    <w:rsid w:val="00040202"/>
    <w:rsid w:val="000405E1"/>
    <w:rsid w:val="000407C2"/>
    <w:rsid w:val="00044ABE"/>
    <w:rsid w:val="00044C72"/>
    <w:rsid w:val="00045627"/>
    <w:rsid w:val="000460E0"/>
    <w:rsid w:val="000466E0"/>
    <w:rsid w:val="00050F4E"/>
    <w:rsid w:val="000533B5"/>
    <w:rsid w:val="00053F7B"/>
    <w:rsid w:val="0005531C"/>
    <w:rsid w:val="00057638"/>
    <w:rsid w:val="00061147"/>
    <w:rsid w:val="00061743"/>
    <w:rsid w:val="000622F8"/>
    <w:rsid w:val="00062D06"/>
    <w:rsid w:val="000662A7"/>
    <w:rsid w:val="00070934"/>
    <w:rsid w:val="000710B1"/>
    <w:rsid w:val="00071E25"/>
    <w:rsid w:val="00072E3F"/>
    <w:rsid w:val="00072FF5"/>
    <w:rsid w:val="0007301A"/>
    <w:rsid w:val="00073C11"/>
    <w:rsid w:val="00075E94"/>
    <w:rsid w:val="00077D20"/>
    <w:rsid w:val="00077F15"/>
    <w:rsid w:val="0008133D"/>
    <w:rsid w:val="000821DA"/>
    <w:rsid w:val="00082844"/>
    <w:rsid w:val="000836C2"/>
    <w:rsid w:val="00083AAD"/>
    <w:rsid w:val="00083B9D"/>
    <w:rsid w:val="00086579"/>
    <w:rsid w:val="000870CA"/>
    <w:rsid w:val="0008721B"/>
    <w:rsid w:val="000875F5"/>
    <w:rsid w:val="0009012D"/>
    <w:rsid w:val="000901B3"/>
    <w:rsid w:val="000908FC"/>
    <w:rsid w:val="000913CC"/>
    <w:rsid w:val="00091434"/>
    <w:rsid w:val="000918A1"/>
    <w:rsid w:val="00092245"/>
    <w:rsid w:val="000926F0"/>
    <w:rsid w:val="0009324B"/>
    <w:rsid w:val="00093E62"/>
    <w:rsid w:val="00094C35"/>
    <w:rsid w:val="00095A2B"/>
    <w:rsid w:val="00097296"/>
    <w:rsid w:val="000A0315"/>
    <w:rsid w:val="000A1AEF"/>
    <w:rsid w:val="000A26B8"/>
    <w:rsid w:val="000A3E7D"/>
    <w:rsid w:val="000A51B9"/>
    <w:rsid w:val="000A7BD8"/>
    <w:rsid w:val="000B18E9"/>
    <w:rsid w:val="000B515C"/>
    <w:rsid w:val="000B5A52"/>
    <w:rsid w:val="000B63D6"/>
    <w:rsid w:val="000C032D"/>
    <w:rsid w:val="000C367D"/>
    <w:rsid w:val="000C71E3"/>
    <w:rsid w:val="000C7F9F"/>
    <w:rsid w:val="000D1D03"/>
    <w:rsid w:val="000D203F"/>
    <w:rsid w:val="000D295C"/>
    <w:rsid w:val="000D3CC0"/>
    <w:rsid w:val="000D3CD9"/>
    <w:rsid w:val="000D44DC"/>
    <w:rsid w:val="000D45BA"/>
    <w:rsid w:val="000D4C74"/>
    <w:rsid w:val="000D55D0"/>
    <w:rsid w:val="000D6537"/>
    <w:rsid w:val="000D6F58"/>
    <w:rsid w:val="000D75D4"/>
    <w:rsid w:val="000E09FB"/>
    <w:rsid w:val="000E2B46"/>
    <w:rsid w:val="000E3A32"/>
    <w:rsid w:val="000E3BB9"/>
    <w:rsid w:val="000E43F3"/>
    <w:rsid w:val="000E5A14"/>
    <w:rsid w:val="000E67BA"/>
    <w:rsid w:val="000E6D34"/>
    <w:rsid w:val="000E7610"/>
    <w:rsid w:val="000F3277"/>
    <w:rsid w:val="000F3B9A"/>
    <w:rsid w:val="000F5A71"/>
    <w:rsid w:val="000F62A0"/>
    <w:rsid w:val="000F66B3"/>
    <w:rsid w:val="000F6BB4"/>
    <w:rsid w:val="00100A35"/>
    <w:rsid w:val="00100E6B"/>
    <w:rsid w:val="00101286"/>
    <w:rsid w:val="00102882"/>
    <w:rsid w:val="00102AE3"/>
    <w:rsid w:val="00102D7E"/>
    <w:rsid w:val="0010325A"/>
    <w:rsid w:val="0010425A"/>
    <w:rsid w:val="00105153"/>
    <w:rsid w:val="00105906"/>
    <w:rsid w:val="001066A0"/>
    <w:rsid w:val="0010752E"/>
    <w:rsid w:val="00107E6C"/>
    <w:rsid w:val="00111809"/>
    <w:rsid w:val="00111C1F"/>
    <w:rsid w:val="001129FB"/>
    <w:rsid w:val="00115676"/>
    <w:rsid w:val="0011684F"/>
    <w:rsid w:val="0011793C"/>
    <w:rsid w:val="001179E3"/>
    <w:rsid w:val="00117AD1"/>
    <w:rsid w:val="00121D02"/>
    <w:rsid w:val="001237FB"/>
    <w:rsid w:val="00124432"/>
    <w:rsid w:val="00125CD6"/>
    <w:rsid w:val="00126149"/>
    <w:rsid w:val="00127FBB"/>
    <w:rsid w:val="00130B3E"/>
    <w:rsid w:val="00130B99"/>
    <w:rsid w:val="00131A59"/>
    <w:rsid w:val="00131A5A"/>
    <w:rsid w:val="001344B8"/>
    <w:rsid w:val="0013606C"/>
    <w:rsid w:val="0013680B"/>
    <w:rsid w:val="00136F27"/>
    <w:rsid w:val="00141CAF"/>
    <w:rsid w:val="00143723"/>
    <w:rsid w:val="00143A58"/>
    <w:rsid w:val="00145BC4"/>
    <w:rsid w:val="001508C0"/>
    <w:rsid w:val="00153083"/>
    <w:rsid w:val="001574B0"/>
    <w:rsid w:val="00157F95"/>
    <w:rsid w:val="00160B54"/>
    <w:rsid w:val="0016135C"/>
    <w:rsid w:val="00161D47"/>
    <w:rsid w:val="00162AAA"/>
    <w:rsid w:val="00163FED"/>
    <w:rsid w:val="00165C6F"/>
    <w:rsid w:val="00165FA0"/>
    <w:rsid w:val="001666F8"/>
    <w:rsid w:val="001673BB"/>
    <w:rsid w:val="00167DCA"/>
    <w:rsid w:val="00170150"/>
    <w:rsid w:val="0017097F"/>
    <w:rsid w:val="001729C7"/>
    <w:rsid w:val="00172A00"/>
    <w:rsid w:val="00173B90"/>
    <w:rsid w:val="0017406C"/>
    <w:rsid w:val="001743EB"/>
    <w:rsid w:val="00174BC1"/>
    <w:rsid w:val="00175028"/>
    <w:rsid w:val="00175C5B"/>
    <w:rsid w:val="00176DBE"/>
    <w:rsid w:val="00180796"/>
    <w:rsid w:val="00180D32"/>
    <w:rsid w:val="00181DEC"/>
    <w:rsid w:val="00183F9A"/>
    <w:rsid w:val="001857DB"/>
    <w:rsid w:val="00185E7D"/>
    <w:rsid w:val="00186939"/>
    <w:rsid w:val="00186F01"/>
    <w:rsid w:val="00190A0E"/>
    <w:rsid w:val="00191A11"/>
    <w:rsid w:val="00192EA2"/>
    <w:rsid w:val="001930A4"/>
    <w:rsid w:val="00194302"/>
    <w:rsid w:val="00194AFF"/>
    <w:rsid w:val="00194C89"/>
    <w:rsid w:val="001951FD"/>
    <w:rsid w:val="00196924"/>
    <w:rsid w:val="00197939"/>
    <w:rsid w:val="001A0551"/>
    <w:rsid w:val="001A0CC1"/>
    <w:rsid w:val="001A1928"/>
    <w:rsid w:val="001A2D00"/>
    <w:rsid w:val="001A32B3"/>
    <w:rsid w:val="001A33AA"/>
    <w:rsid w:val="001A373E"/>
    <w:rsid w:val="001A4119"/>
    <w:rsid w:val="001A43C0"/>
    <w:rsid w:val="001B1061"/>
    <w:rsid w:val="001B1EB8"/>
    <w:rsid w:val="001B30DE"/>
    <w:rsid w:val="001B35D2"/>
    <w:rsid w:val="001B3D68"/>
    <w:rsid w:val="001C044D"/>
    <w:rsid w:val="001C1E2A"/>
    <w:rsid w:val="001C20EA"/>
    <w:rsid w:val="001C2726"/>
    <w:rsid w:val="001C30EE"/>
    <w:rsid w:val="001C43BC"/>
    <w:rsid w:val="001C50AF"/>
    <w:rsid w:val="001C772D"/>
    <w:rsid w:val="001C7CD0"/>
    <w:rsid w:val="001D1AC5"/>
    <w:rsid w:val="001D3022"/>
    <w:rsid w:val="001D41AF"/>
    <w:rsid w:val="001D4942"/>
    <w:rsid w:val="001D7C4F"/>
    <w:rsid w:val="001E099D"/>
    <w:rsid w:val="001E0B10"/>
    <w:rsid w:val="001E0D2A"/>
    <w:rsid w:val="001E2550"/>
    <w:rsid w:val="001E2E68"/>
    <w:rsid w:val="001E4293"/>
    <w:rsid w:val="001E5301"/>
    <w:rsid w:val="001E793D"/>
    <w:rsid w:val="001E7C4F"/>
    <w:rsid w:val="001F0261"/>
    <w:rsid w:val="001F0CFE"/>
    <w:rsid w:val="001F27FE"/>
    <w:rsid w:val="001F37A4"/>
    <w:rsid w:val="001F44CC"/>
    <w:rsid w:val="001F5134"/>
    <w:rsid w:val="001F5653"/>
    <w:rsid w:val="001F7053"/>
    <w:rsid w:val="001F7257"/>
    <w:rsid w:val="001F76BF"/>
    <w:rsid w:val="00200B6C"/>
    <w:rsid w:val="00201969"/>
    <w:rsid w:val="00204E54"/>
    <w:rsid w:val="00205995"/>
    <w:rsid w:val="00207DC1"/>
    <w:rsid w:val="00210387"/>
    <w:rsid w:val="002113D1"/>
    <w:rsid w:val="00211815"/>
    <w:rsid w:val="0021270E"/>
    <w:rsid w:val="00214C07"/>
    <w:rsid w:val="00215CF2"/>
    <w:rsid w:val="002160F0"/>
    <w:rsid w:val="0021696F"/>
    <w:rsid w:val="002171BF"/>
    <w:rsid w:val="00217283"/>
    <w:rsid w:val="002238CF"/>
    <w:rsid w:val="0022391B"/>
    <w:rsid w:val="00224467"/>
    <w:rsid w:val="00225121"/>
    <w:rsid w:val="00226558"/>
    <w:rsid w:val="00226C81"/>
    <w:rsid w:val="002274D0"/>
    <w:rsid w:val="00227E66"/>
    <w:rsid w:val="0023047F"/>
    <w:rsid w:val="00230809"/>
    <w:rsid w:val="002310B8"/>
    <w:rsid w:val="002322D9"/>
    <w:rsid w:val="0023360E"/>
    <w:rsid w:val="00234716"/>
    <w:rsid w:val="002357A1"/>
    <w:rsid w:val="00235A75"/>
    <w:rsid w:val="00235E98"/>
    <w:rsid w:val="002403EE"/>
    <w:rsid w:val="002449EB"/>
    <w:rsid w:val="00245816"/>
    <w:rsid w:val="002459AF"/>
    <w:rsid w:val="00246AF3"/>
    <w:rsid w:val="002470A1"/>
    <w:rsid w:val="0025180E"/>
    <w:rsid w:val="002536B7"/>
    <w:rsid w:val="0025589F"/>
    <w:rsid w:val="00255BBF"/>
    <w:rsid w:val="00255D24"/>
    <w:rsid w:val="0025704B"/>
    <w:rsid w:val="002575C9"/>
    <w:rsid w:val="00257A2B"/>
    <w:rsid w:val="00257F4D"/>
    <w:rsid w:val="00261D30"/>
    <w:rsid w:val="002627A7"/>
    <w:rsid w:val="00263D4D"/>
    <w:rsid w:val="0026403E"/>
    <w:rsid w:val="00266EBF"/>
    <w:rsid w:val="0027072B"/>
    <w:rsid w:val="00270EEB"/>
    <w:rsid w:val="00271B33"/>
    <w:rsid w:val="00271F45"/>
    <w:rsid w:val="002724DB"/>
    <w:rsid w:val="0027338E"/>
    <w:rsid w:val="002734EF"/>
    <w:rsid w:val="00273F62"/>
    <w:rsid w:val="002752A4"/>
    <w:rsid w:val="00276900"/>
    <w:rsid w:val="00277D5C"/>
    <w:rsid w:val="00280304"/>
    <w:rsid w:val="00281547"/>
    <w:rsid w:val="00282DCB"/>
    <w:rsid w:val="00283762"/>
    <w:rsid w:val="0028427A"/>
    <w:rsid w:val="0028688E"/>
    <w:rsid w:val="00290554"/>
    <w:rsid w:val="0029121C"/>
    <w:rsid w:val="00291603"/>
    <w:rsid w:val="0029164A"/>
    <w:rsid w:val="0029304F"/>
    <w:rsid w:val="0029309C"/>
    <w:rsid w:val="00294B86"/>
    <w:rsid w:val="00296996"/>
    <w:rsid w:val="0029746C"/>
    <w:rsid w:val="002A04CB"/>
    <w:rsid w:val="002A38C6"/>
    <w:rsid w:val="002A3994"/>
    <w:rsid w:val="002A3F44"/>
    <w:rsid w:val="002A4D69"/>
    <w:rsid w:val="002A4E45"/>
    <w:rsid w:val="002A59BC"/>
    <w:rsid w:val="002A639C"/>
    <w:rsid w:val="002A65AF"/>
    <w:rsid w:val="002B0229"/>
    <w:rsid w:val="002B0BFF"/>
    <w:rsid w:val="002B146E"/>
    <w:rsid w:val="002B6668"/>
    <w:rsid w:val="002B6983"/>
    <w:rsid w:val="002C047A"/>
    <w:rsid w:val="002C0739"/>
    <w:rsid w:val="002C125E"/>
    <w:rsid w:val="002C3332"/>
    <w:rsid w:val="002C3EEA"/>
    <w:rsid w:val="002C4ECE"/>
    <w:rsid w:val="002C6DCF"/>
    <w:rsid w:val="002D1AD3"/>
    <w:rsid w:val="002D1B25"/>
    <w:rsid w:val="002D35FD"/>
    <w:rsid w:val="002D4267"/>
    <w:rsid w:val="002D4CCE"/>
    <w:rsid w:val="002D6194"/>
    <w:rsid w:val="002D7757"/>
    <w:rsid w:val="002D7C12"/>
    <w:rsid w:val="002E1F98"/>
    <w:rsid w:val="002E2EDC"/>
    <w:rsid w:val="002E3128"/>
    <w:rsid w:val="002E3F06"/>
    <w:rsid w:val="002E4F3B"/>
    <w:rsid w:val="002E5A05"/>
    <w:rsid w:val="002E5D20"/>
    <w:rsid w:val="002E679B"/>
    <w:rsid w:val="002E74E1"/>
    <w:rsid w:val="002E7C65"/>
    <w:rsid w:val="002E7DBF"/>
    <w:rsid w:val="002F0D3C"/>
    <w:rsid w:val="002F194D"/>
    <w:rsid w:val="002F609A"/>
    <w:rsid w:val="002F723A"/>
    <w:rsid w:val="00301645"/>
    <w:rsid w:val="00301DC6"/>
    <w:rsid w:val="00302551"/>
    <w:rsid w:val="00302894"/>
    <w:rsid w:val="00302D06"/>
    <w:rsid w:val="00303ECF"/>
    <w:rsid w:val="0030447B"/>
    <w:rsid w:val="0030450A"/>
    <w:rsid w:val="00304CB8"/>
    <w:rsid w:val="003051FD"/>
    <w:rsid w:val="00305B2B"/>
    <w:rsid w:val="0030643F"/>
    <w:rsid w:val="00311B4E"/>
    <w:rsid w:val="00312AC4"/>
    <w:rsid w:val="003133E2"/>
    <w:rsid w:val="003143D3"/>
    <w:rsid w:val="00314A43"/>
    <w:rsid w:val="00315EC5"/>
    <w:rsid w:val="00317179"/>
    <w:rsid w:val="003177FA"/>
    <w:rsid w:val="003201AC"/>
    <w:rsid w:val="00320364"/>
    <w:rsid w:val="0032112A"/>
    <w:rsid w:val="00326B03"/>
    <w:rsid w:val="00327A49"/>
    <w:rsid w:val="00330307"/>
    <w:rsid w:val="00330413"/>
    <w:rsid w:val="0033046C"/>
    <w:rsid w:val="003318EE"/>
    <w:rsid w:val="00335DDF"/>
    <w:rsid w:val="00336BAF"/>
    <w:rsid w:val="003408C5"/>
    <w:rsid w:val="00340B83"/>
    <w:rsid w:val="00341913"/>
    <w:rsid w:val="003451C2"/>
    <w:rsid w:val="00345FEC"/>
    <w:rsid w:val="00346208"/>
    <w:rsid w:val="00347EEE"/>
    <w:rsid w:val="0035165D"/>
    <w:rsid w:val="0035285C"/>
    <w:rsid w:val="003535B6"/>
    <w:rsid w:val="00353953"/>
    <w:rsid w:val="003539FB"/>
    <w:rsid w:val="00354E73"/>
    <w:rsid w:val="003552DE"/>
    <w:rsid w:val="003559D0"/>
    <w:rsid w:val="00357302"/>
    <w:rsid w:val="00357650"/>
    <w:rsid w:val="00357840"/>
    <w:rsid w:val="003614E8"/>
    <w:rsid w:val="00366A64"/>
    <w:rsid w:val="0036790D"/>
    <w:rsid w:val="00367C32"/>
    <w:rsid w:val="00367C64"/>
    <w:rsid w:val="003703A4"/>
    <w:rsid w:val="0037048E"/>
    <w:rsid w:val="0037154D"/>
    <w:rsid w:val="00375019"/>
    <w:rsid w:val="00375117"/>
    <w:rsid w:val="0038192F"/>
    <w:rsid w:val="003834CF"/>
    <w:rsid w:val="00383882"/>
    <w:rsid w:val="00383AD2"/>
    <w:rsid w:val="00383CD1"/>
    <w:rsid w:val="00384619"/>
    <w:rsid w:val="00384BA1"/>
    <w:rsid w:val="00384D20"/>
    <w:rsid w:val="00386529"/>
    <w:rsid w:val="0038672E"/>
    <w:rsid w:val="00386B2C"/>
    <w:rsid w:val="00387086"/>
    <w:rsid w:val="003905BD"/>
    <w:rsid w:val="0039156B"/>
    <w:rsid w:val="00391ECF"/>
    <w:rsid w:val="00392583"/>
    <w:rsid w:val="003932ED"/>
    <w:rsid w:val="00393C31"/>
    <w:rsid w:val="003961B4"/>
    <w:rsid w:val="003964EC"/>
    <w:rsid w:val="003968AE"/>
    <w:rsid w:val="00397133"/>
    <w:rsid w:val="0039758E"/>
    <w:rsid w:val="00397AF5"/>
    <w:rsid w:val="003A0AAF"/>
    <w:rsid w:val="003A2889"/>
    <w:rsid w:val="003A3DFC"/>
    <w:rsid w:val="003A5C99"/>
    <w:rsid w:val="003B2AA1"/>
    <w:rsid w:val="003B335C"/>
    <w:rsid w:val="003B3F13"/>
    <w:rsid w:val="003B6CBE"/>
    <w:rsid w:val="003C1989"/>
    <w:rsid w:val="003C2A0B"/>
    <w:rsid w:val="003C2A28"/>
    <w:rsid w:val="003C6ED2"/>
    <w:rsid w:val="003D086D"/>
    <w:rsid w:val="003D12C1"/>
    <w:rsid w:val="003D2C7A"/>
    <w:rsid w:val="003D3B66"/>
    <w:rsid w:val="003D46E4"/>
    <w:rsid w:val="003D4CAD"/>
    <w:rsid w:val="003D4F20"/>
    <w:rsid w:val="003D59EE"/>
    <w:rsid w:val="003E14B3"/>
    <w:rsid w:val="003E2894"/>
    <w:rsid w:val="003E29FE"/>
    <w:rsid w:val="003E2F15"/>
    <w:rsid w:val="003E3C78"/>
    <w:rsid w:val="003E3D61"/>
    <w:rsid w:val="003E6CD8"/>
    <w:rsid w:val="003F387C"/>
    <w:rsid w:val="003F4C06"/>
    <w:rsid w:val="003F63E8"/>
    <w:rsid w:val="003F64C4"/>
    <w:rsid w:val="003F666E"/>
    <w:rsid w:val="003F6C06"/>
    <w:rsid w:val="0040244D"/>
    <w:rsid w:val="00403241"/>
    <w:rsid w:val="00403EAA"/>
    <w:rsid w:val="00404279"/>
    <w:rsid w:val="00404D74"/>
    <w:rsid w:val="004051BE"/>
    <w:rsid w:val="004053BD"/>
    <w:rsid w:val="00407789"/>
    <w:rsid w:val="00412083"/>
    <w:rsid w:val="00417CCF"/>
    <w:rsid w:val="00417ED3"/>
    <w:rsid w:val="0042016F"/>
    <w:rsid w:val="0042060D"/>
    <w:rsid w:val="00421A4E"/>
    <w:rsid w:val="00421CC8"/>
    <w:rsid w:val="00422F61"/>
    <w:rsid w:val="00424422"/>
    <w:rsid w:val="00424FE3"/>
    <w:rsid w:val="0042577E"/>
    <w:rsid w:val="00425783"/>
    <w:rsid w:val="00426B6A"/>
    <w:rsid w:val="00426E11"/>
    <w:rsid w:val="00427516"/>
    <w:rsid w:val="00431EBC"/>
    <w:rsid w:val="00432A10"/>
    <w:rsid w:val="004342AC"/>
    <w:rsid w:val="004349E5"/>
    <w:rsid w:val="0043537A"/>
    <w:rsid w:val="0043551C"/>
    <w:rsid w:val="004411C2"/>
    <w:rsid w:val="004446CB"/>
    <w:rsid w:val="0044699C"/>
    <w:rsid w:val="004470FD"/>
    <w:rsid w:val="004509D5"/>
    <w:rsid w:val="00450BB9"/>
    <w:rsid w:val="004510E0"/>
    <w:rsid w:val="004532FA"/>
    <w:rsid w:val="00454685"/>
    <w:rsid w:val="00454DBA"/>
    <w:rsid w:val="004555EC"/>
    <w:rsid w:val="0045578B"/>
    <w:rsid w:val="00455A09"/>
    <w:rsid w:val="00455F5A"/>
    <w:rsid w:val="004575F6"/>
    <w:rsid w:val="00457B11"/>
    <w:rsid w:val="00457D2A"/>
    <w:rsid w:val="004602AE"/>
    <w:rsid w:val="00460439"/>
    <w:rsid w:val="00460C6C"/>
    <w:rsid w:val="00461529"/>
    <w:rsid w:val="00463855"/>
    <w:rsid w:val="0046502E"/>
    <w:rsid w:val="00465EE6"/>
    <w:rsid w:val="00466943"/>
    <w:rsid w:val="00466A8E"/>
    <w:rsid w:val="00466BBF"/>
    <w:rsid w:val="004671CD"/>
    <w:rsid w:val="00467A4C"/>
    <w:rsid w:val="00467F0A"/>
    <w:rsid w:val="00470087"/>
    <w:rsid w:val="00470628"/>
    <w:rsid w:val="004713DA"/>
    <w:rsid w:val="004716DA"/>
    <w:rsid w:val="004718DC"/>
    <w:rsid w:val="00472024"/>
    <w:rsid w:val="00472A5B"/>
    <w:rsid w:val="00474C1B"/>
    <w:rsid w:val="00474CD9"/>
    <w:rsid w:val="0047548A"/>
    <w:rsid w:val="00475F14"/>
    <w:rsid w:val="0047628F"/>
    <w:rsid w:val="00481643"/>
    <w:rsid w:val="004816F8"/>
    <w:rsid w:val="00483C21"/>
    <w:rsid w:val="00483F9F"/>
    <w:rsid w:val="00484F09"/>
    <w:rsid w:val="00485973"/>
    <w:rsid w:val="00486ED5"/>
    <w:rsid w:val="00487653"/>
    <w:rsid w:val="00487CB4"/>
    <w:rsid w:val="004913FB"/>
    <w:rsid w:val="004919E7"/>
    <w:rsid w:val="00491FF8"/>
    <w:rsid w:val="00493F1D"/>
    <w:rsid w:val="0049597A"/>
    <w:rsid w:val="00495A3C"/>
    <w:rsid w:val="004A07EF"/>
    <w:rsid w:val="004A2E89"/>
    <w:rsid w:val="004A3A0A"/>
    <w:rsid w:val="004A563C"/>
    <w:rsid w:val="004A6D8C"/>
    <w:rsid w:val="004B0E25"/>
    <w:rsid w:val="004B1342"/>
    <w:rsid w:val="004B23FA"/>
    <w:rsid w:val="004B27FB"/>
    <w:rsid w:val="004B2EAD"/>
    <w:rsid w:val="004B4112"/>
    <w:rsid w:val="004B4D3D"/>
    <w:rsid w:val="004B54C4"/>
    <w:rsid w:val="004B551C"/>
    <w:rsid w:val="004B5840"/>
    <w:rsid w:val="004B5C79"/>
    <w:rsid w:val="004C02DD"/>
    <w:rsid w:val="004C0401"/>
    <w:rsid w:val="004C0C28"/>
    <w:rsid w:val="004C1412"/>
    <w:rsid w:val="004C3165"/>
    <w:rsid w:val="004C3CB9"/>
    <w:rsid w:val="004C3D65"/>
    <w:rsid w:val="004C7577"/>
    <w:rsid w:val="004D024D"/>
    <w:rsid w:val="004D083B"/>
    <w:rsid w:val="004D0BCB"/>
    <w:rsid w:val="004D158C"/>
    <w:rsid w:val="004D39FF"/>
    <w:rsid w:val="004D5924"/>
    <w:rsid w:val="004E0032"/>
    <w:rsid w:val="004E1067"/>
    <w:rsid w:val="004E1CB5"/>
    <w:rsid w:val="004E2469"/>
    <w:rsid w:val="004E39DC"/>
    <w:rsid w:val="004E4B36"/>
    <w:rsid w:val="004F0D6E"/>
    <w:rsid w:val="004F1C57"/>
    <w:rsid w:val="004F3271"/>
    <w:rsid w:val="004F512F"/>
    <w:rsid w:val="004F5539"/>
    <w:rsid w:val="004F59F5"/>
    <w:rsid w:val="005001B2"/>
    <w:rsid w:val="00500A4B"/>
    <w:rsid w:val="0050124F"/>
    <w:rsid w:val="005032E5"/>
    <w:rsid w:val="005035DB"/>
    <w:rsid w:val="00504D8F"/>
    <w:rsid w:val="005067C1"/>
    <w:rsid w:val="0050724D"/>
    <w:rsid w:val="005103F8"/>
    <w:rsid w:val="00510C4E"/>
    <w:rsid w:val="00511176"/>
    <w:rsid w:val="0051254F"/>
    <w:rsid w:val="00514EC4"/>
    <w:rsid w:val="00516A36"/>
    <w:rsid w:val="0051733A"/>
    <w:rsid w:val="005204C8"/>
    <w:rsid w:val="00520513"/>
    <w:rsid w:val="0052102D"/>
    <w:rsid w:val="00521071"/>
    <w:rsid w:val="005218B6"/>
    <w:rsid w:val="0052223A"/>
    <w:rsid w:val="00522913"/>
    <w:rsid w:val="005232A9"/>
    <w:rsid w:val="00523FAA"/>
    <w:rsid w:val="00524A8F"/>
    <w:rsid w:val="00525F0C"/>
    <w:rsid w:val="00526317"/>
    <w:rsid w:val="00526557"/>
    <w:rsid w:val="005275FD"/>
    <w:rsid w:val="0053168E"/>
    <w:rsid w:val="00531996"/>
    <w:rsid w:val="00531C40"/>
    <w:rsid w:val="00531DC8"/>
    <w:rsid w:val="00532F97"/>
    <w:rsid w:val="00534099"/>
    <w:rsid w:val="0053754C"/>
    <w:rsid w:val="005378DF"/>
    <w:rsid w:val="0054451D"/>
    <w:rsid w:val="00544CBA"/>
    <w:rsid w:val="00545365"/>
    <w:rsid w:val="0054556A"/>
    <w:rsid w:val="00545F30"/>
    <w:rsid w:val="00547174"/>
    <w:rsid w:val="00547EBF"/>
    <w:rsid w:val="00552502"/>
    <w:rsid w:val="005541A7"/>
    <w:rsid w:val="00555C37"/>
    <w:rsid w:val="00556482"/>
    <w:rsid w:val="00557118"/>
    <w:rsid w:val="0056095E"/>
    <w:rsid w:val="0056181B"/>
    <w:rsid w:val="00561985"/>
    <w:rsid w:val="00562F18"/>
    <w:rsid w:val="00563290"/>
    <w:rsid w:val="00565504"/>
    <w:rsid w:val="005657E3"/>
    <w:rsid w:val="005658BA"/>
    <w:rsid w:val="0056624E"/>
    <w:rsid w:val="00566476"/>
    <w:rsid w:val="00566531"/>
    <w:rsid w:val="00566E46"/>
    <w:rsid w:val="00567305"/>
    <w:rsid w:val="00570AEC"/>
    <w:rsid w:val="00571101"/>
    <w:rsid w:val="00572E57"/>
    <w:rsid w:val="00573C96"/>
    <w:rsid w:val="00574414"/>
    <w:rsid w:val="0057455B"/>
    <w:rsid w:val="005747BC"/>
    <w:rsid w:val="00575B2E"/>
    <w:rsid w:val="00576B1F"/>
    <w:rsid w:val="00577F22"/>
    <w:rsid w:val="005810ED"/>
    <w:rsid w:val="005813F1"/>
    <w:rsid w:val="00582303"/>
    <w:rsid w:val="00582A2D"/>
    <w:rsid w:val="00582B1C"/>
    <w:rsid w:val="0058390D"/>
    <w:rsid w:val="005839BC"/>
    <w:rsid w:val="005857A5"/>
    <w:rsid w:val="00586177"/>
    <w:rsid w:val="00586337"/>
    <w:rsid w:val="00586893"/>
    <w:rsid w:val="00586C2E"/>
    <w:rsid w:val="00590CF8"/>
    <w:rsid w:val="00590EE9"/>
    <w:rsid w:val="00591888"/>
    <w:rsid w:val="00591BF2"/>
    <w:rsid w:val="00591D17"/>
    <w:rsid w:val="00592743"/>
    <w:rsid w:val="0059309D"/>
    <w:rsid w:val="0059549C"/>
    <w:rsid w:val="00595E71"/>
    <w:rsid w:val="00596CF0"/>
    <w:rsid w:val="005A0CAF"/>
    <w:rsid w:val="005A2F44"/>
    <w:rsid w:val="005A307F"/>
    <w:rsid w:val="005A46EC"/>
    <w:rsid w:val="005A4E49"/>
    <w:rsid w:val="005A53D3"/>
    <w:rsid w:val="005A6E81"/>
    <w:rsid w:val="005A7626"/>
    <w:rsid w:val="005A7FCE"/>
    <w:rsid w:val="005B0918"/>
    <w:rsid w:val="005B12AA"/>
    <w:rsid w:val="005B148D"/>
    <w:rsid w:val="005B24A5"/>
    <w:rsid w:val="005B61BD"/>
    <w:rsid w:val="005C03B9"/>
    <w:rsid w:val="005C1B03"/>
    <w:rsid w:val="005C33CB"/>
    <w:rsid w:val="005C36C6"/>
    <w:rsid w:val="005C3D43"/>
    <w:rsid w:val="005C3DD5"/>
    <w:rsid w:val="005C5BBD"/>
    <w:rsid w:val="005C7E8B"/>
    <w:rsid w:val="005D0587"/>
    <w:rsid w:val="005D0DD4"/>
    <w:rsid w:val="005D1572"/>
    <w:rsid w:val="005D23AE"/>
    <w:rsid w:val="005D4D0D"/>
    <w:rsid w:val="005D77AE"/>
    <w:rsid w:val="005D7804"/>
    <w:rsid w:val="005D7851"/>
    <w:rsid w:val="005D786E"/>
    <w:rsid w:val="005D7F14"/>
    <w:rsid w:val="005E1068"/>
    <w:rsid w:val="005E3220"/>
    <w:rsid w:val="005E4088"/>
    <w:rsid w:val="005E4A27"/>
    <w:rsid w:val="005E4DD2"/>
    <w:rsid w:val="005E70AB"/>
    <w:rsid w:val="005F067E"/>
    <w:rsid w:val="005F7951"/>
    <w:rsid w:val="00600936"/>
    <w:rsid w:val="00601CB8"/>
    <w:rsid w:val="00601F8B"/>
    <w:rsid w:val="00602DB4"/>
    <w:rsid w:val="00604D7C"/>
    <w:rsid w:val="00604F5F"/>
    <w:rsid w:val="006054A3"/>
    <w:rsid w:val="00606327"/>
    <w:rsid w:val="00606872"/>
    <w:rsid w:val="0060779E"/>
    <w:rsid w:val="00607F7D"/>
    <w:rsid w:val="00612EEC"/>
    <w:rsid w:val="006138C6"/>
    <w:rsid w:val="00614413"/>
    <w:rsid w:val="006173DB"/>
    <w:rsid w:val="00621DA5"/>
    <w:rsid w:val="00622351"/>
    <w:rsid w:val="00622552"/>
    <w:rsid w:val="006232D1"/>
    <w:rsid w:val="00623F9C"/>
    <w:rsid w:val="0062440B"/>
    <w:rsid w:val="0062455A"/>
    <w:rsid w:val="006247B8"/>
    <w:rsid w:val="006268CC"/>
    <w:rsid w:val="00627C20"/>
    <w:rsid w:val="00632488"/>
    <w:rsid w:val="006346CF"/>
    <w:rsid w:val="00635209"/>
    <w:rsid w:val="00635F97"/>
    <w:rsid w:val="00641071"/>
    <w:rsid w:val="00641716"/>
    <w:rsid w:val="006418F4"/>
    <w:rsid w:val="0064261E"/>
    <w:rsid w:val="00643214"/>
    <w:rsid w:val="006444EF"/>
    <w:rsid w:val="0064557F"/>
    <w:rsid w:val="006455B9"/>
    <w:rsid w:val="00645B07"/>
    <w:rsid w:val="00647880"/>
    <w:rsid w:val="00650662"/>
    <w:rsid w:val="00650C0A"/>
    <w:rsid w:val="00651008"/>
    <w:rsid w:val="00651CF6"/>
    <w:rsid w:val="00652A5F"/>
    <w:rsid w:val="00652F6C"/>
    <w:rsid w:val="00654E66"/>
    <w:rsid w:val="00655A44"/>
    <w:rsid w:val="00656813"/>
    <w:rsid w:val="0065786B"/>
    <w:rsid w:val="00661655"/>
    <w:rsid w:val="0066225A"/>
    <w:rsid w:val="00664545"/>
    <w:rsid w:val="0066734B"/>
    <w:rsid w:val="00667F36"/>
    <w:rsid w:val="006713EE"/>
    <w:rsid w:val="0067147F"/>
    <w:rsid w:val="006723CF"/>
    <w:rsid w:val="0067281C"/>
    <w:rsid w:val="00673842"/>
    <w:rsid w:val="0067472F"/>
    <w:rsid w:val="00675E6A"/>
    <w:rsid w:val="00676D2A"/>
    <w:rsid w:val="00677AB9"/>
    <w:rsid w:val="00677F47"/>
    <w:rsid w:val="00680C4A"/>
    <w:rsid w:val="006829C1"/>
    <w:rsid w:val="006848D4"/>
    <w:rsid w:val="00685AD0"/>
    <w:rsid w:val="00685B68"/>
    <w:rsid w:val="00686629"/>
    <w:rsid w:val="006879F4"/>
    <w:rsid w:val="00691438"/>
    <w:rsid w:val="00691608"/>
    <w:rsid w:val="00692174"/>
    <w:rsid w:val="006924DB"/>
    <w:rsid w:val="006935E8"/>
    <w:rsid w:val="00694236"/>
    <w:rsid w:val="00694911"/>
    <w:rsid w:val="00695582"/>
    <w:rsid w:val="006957CE"/>
    <w:rsid w:val="00695A2E"/>
    <w:rsid w:val="0069628D"/>
    <w:rsid w:val="006976C9"/>
    <w:rsid w:val="006A1A12"/>
    <w:rsid w:val="006A1B33"/>
    <w:rsid w:val="006A3544"/>
    <w:rsid w:val="006A42CF"/>
    <w:rsid w:val="006A4C04"/>
    <w:rsid w:val="006A4E26"/>
    <w:rsid w:val="006A5216"/>
    <w:rsid w:val="006A5567"/>
    <w:rsid w:val="006B0CD6"/>
    <w:rsid w:val="006B2CE2"/>
    <w:rsid w:val="006B3552"/>
    <w:rsid w:val="006B4C1F"/>
    <w:rsid w:val="006B5AB8"/>
    <w:rsid w:val="006B6192"/>
    <w:rsid w:val="006B624C"/>
    <w:rsid w:val="006B64B2"/>
    <w:rsid w:val="006B7BB6"/>
    <w:rsid w:val="006B7ED3"/>
    <w:rsid w:val="006C056F"/>
    <w:rsid w:val="006C201A"/>
    <w:rsid w:val="006C2CA3"/>
    <w:rsid w:val="006C310B"/>
    <w:rsid w:val="006C33AA"/>
    <w:rsid w:val="006C45ED"/>
    <w:rsid w:val="006C55A8"/>
    <w:rsid w:val="006C615E"/>
    <w:rsid w:val="006C72AA"/>
    <w:rsid w:val="006C739A"/>
    <w:rsid w:val="006D1AFD"/>
    <w:rsid w:val="006D25CD"/>
    <w:rsid w:val="006D2BD3"/>
    <w:rsid w:val="006D376C"/>
    <w:rsid w:val="006D3A1E"/>
    <w:rsid w:val="006D417F"/>
    <w:rsid w:val="006D4541"/>
    <w:rsid w:val="006D63F3"/>
    <w:rsid w:val="006D6D3A"/>
    <w:rsid w:val="006E088A"/>
    <w:rsid w:val="006E1E89"/>
    <w:rsid w:val="006E360B"/>
    <w:rsid w:val="006E411C"/>
    <w:rsid w:val="006E573D"/>
    <w:rsid w:val="006E5F97"/>
    <w:rsid w:val="006F0C32"/>
    <w:rsid w:val="006F1086"/>
    <w:rsid w:val="006F210F"/>
    <w:rsid w:val="006F27CD"/>
    <w:rsid w:val="006F297B"/>
    <w:rsid w:val="006F3F0D"/>
    <w:rsid w:val="006F5FBA"/>
    <w:rsid w:val="0070093A"/>
    <w:rsid w:val="0070118A"/>
    <w:rsid w:val="007048D7"/>
    <w:rsid w:val="007068DF"/>
    <w:rsid w:val="00706A7E"/>
    <w:rsid w:val="00706CE0"/>
    <w:rsid w:val="00707075"/>
    <w:rsid w:val="00707D16"/>
    <w:rsid w:val="007108EB"/>
    <w:rsid w:val="00711AA9"/>
    <w:rsid w:val="00711FC7"/>
    <w:rsid w:val="00714119"/>
    <w:rsid w:val="007165B7"/>
    <w:rsid w:val="00716928"/>
    <w:rsid w:val="00716A58"/>
    <w:rsid w:val="00716CE0"/>
    <w:rsid w:val="00716F66"/>
    <w:rsid w:val="00717C6D"/>
    <w:rsid w:val="0072021B"/>
    <w:rsid w:val="0072167C"/>
    <w:rsid w:val="00721C52"/>
    <w:rsid w:val="00727197"/>
    <w:rsid w:val="007272BA"/>
    <w:rsid w:val="00731545"/>
    <w:rsid w:val="00731812"/>
    <w:rsid w:val="00733DE3"/>
    <w:rsid w:val="00733E14"/>
    <w:rsid w:val="007410BC"/>
    <w:rsid w:val="00741870"/>
    <w:rsid w:val="00742886"/>
    <w:rsid w:val="0074314A"/>
    <w:rsid w:val="0074447B"/>
    <w:rsid w:val="007456DF"/>
    <w:rsid w:val="007461A2"/>
    <w:rsid w:val="00747398"/>
    <w:rsid w:val="0075001A"/>
    <w:rsid w:val="007523A6"/>
    <w:rsid w:val="00753D3E"/>
    <w:rsid w:val="00753D82"/>
    <w:rsid w:val="00754335"/>
    <w:rsid w:val="00756F65"/>
    <w:rsid w:val="007576D2"/>
    <w:rsid w:val="00757978"/>
    <w:rsid w:val="00760770"/>
    <w:rsid w:val="0076077F"/>
    <w:rsid w:val="00761252"/>
    <w:rsid w:val="00761EEF"/>
    <w:rsid w:val="007622A3"/>
    <w:rsid w:val="0076368D"/>
    <w:rsid w:val="007670DA"/>
    <w:rsid w:val="0077054A"/>
    <w:rsid w:val="00770E8A"/>
    <w:rsid w:val="00770F63"/>
    <w:rsid w:val="007716F8"/>
    <w:rsid w:val="007719E1"/>
    <w:rsid w:val="0077226E"/>
    <w:rsid w:val="0077243E"/>
    <w:rsid w:val="00773F2E"/>
    <w:rsid w:val="007774D2"/>
    <w:rsid w:val="007775A6"/>
    <w:rsid w:val="00783064"/>
    <w:rsid w:val="00783A91"/>
    <w:rsid w:val="00783DB2"/>
    <w:rsid w:val="00784CC7"/>
    <w:rsid w:val="00785B8D"/>
    <w:rsid w:val="00786B77"/>
    <w:rsid w:val="007907E7"/>
    <w:rsid w:val="00792213"/>
    <w:rsid w:val="007923E0"/>
    <w:rsid w:val="00792592"/>
    <w:rsid w:val="0079360C"/>
    <w:rsid w:val="00794060"/>
    <w:rsid w:val="0079447D"/>
    <w:rsid w:val="0079513A"/>
    <w:rsid w:val="00795292"/>
    <w:rsid w:val="00796091"/>
    <w:rsid w:val="00797C24"/>
    <w:rsid w:val="007A009D"/>
    <w:rsid w:val="007A11F5"/>
    <w:rsid w:val="007A30F5"/>
    <w:rsid w:val="007A32C7"/>
    <w:rsid w:val="007A3688"/>
    <w:rsid w:val="007A390E"/>
    <w:rsid w:val="007A429F"/>
    <w:rsid w:val="007A5C2D"/>
    <w:rsid w:val="007A61BC"/>
    <w:rsid w:val="007B057D"/>
    <w:rsid w:val="007B14A0"/>
    <w:rsid w:val="007B20CC"/>
    <w:rsid w:val="007B2C6A"/>
    <w:rsid w:val="007B3038"/>
    <w:rsid w:val="007B3764"/>
    <w:rsid w:val="007B3AF4"/>
    <w:rsid w:val="007B3D24"/>
    <w:rsid w:val="007B435F"/>
    <w:rsid w:val="007B5E9C"/>
    <w:rsid w:val="007B6D8F"/>
    <w:rsid w:val="007B6F71"/>
    <w:rsid w:val="007B7A11"/>
    <w:rsid w:val="007C0F9D"/>
    <w:rsid w:val="007C0FFA"/>
    <w:rsid w:val="007C26DD"/>
    <w:rsid w:val="007C2F4F"/>
    <w:rsid w:val="007C2FBD"/>
    <w:rsid w:val="007C38C7"/>
    <w:rsid w:val="007C5AED"/>
    <w:rsid w:val="007C5BFD"/>
    <w:rsid w:val="007C66F6"/>
    <w:rsid w:val="007C6918"/>
    <w:rsid w:val="007C6AE4"/>
    <w:rsid w:val="007C6C5E"/>
    <w:rsid w:val="007D08B5"/>
    <w:rsid w:val="007D0D5D"/>
    <w:rsid w:val="007D170D"/>
    <w:rsid w:val="007D3005"/>
    <w:rsid w:val="007D336C"/>
    <w:rsid w:val="007D33BB"/>
    <w:rsid w:val="007E3D58"/>
    <w:rsid w:val="007E3ED3"/>
    <w:rsid w:val="007E469E"/>
    <w:rsid w:val="007E4B05"/>
    <w:rsid w:val="007E4CC9"/>
    <w:rsid w:val="007E4CD0"/>
    <w:rsid w:val="007E57BA"/>
    <w:rsid w:val="007E5E42"/>
    <w:rsid w:val="007E6315"/>
    <w:rsid w:val="007E6658"/>
    <w:rsid w:val="007E7EC5"/>
    <w:rsid w:val="007F088A"/>
    <w:rsid w:val="007F0A79"/>
    <w:rsid w:val="007F1679"/>
    <w:rsid w:val="007F1B7C"/>
    <w:rsid w:val="007F3361"/>
    <w:rsid w:val="007F3D1C"/>
    <w:rsid w:val="007F4FEE"/>
    <w:rsid w:val="007F5E60"/>
    <w:rsid w:val="007F6062"/>
    <w:rsid w:val="007F619F"/>
    <w:rsid w:val="007F7B1A"/>
    <w:rsid w:val="007F7C76"/>
    <w:rsid w:val="00800B82"/>
    <w:rsid w:val="008039A5"/>
    <w:rsid w:val="00804167"/>
    <w:rsid w:val="008049EB"/>
    <w:rsid w:val="00805473"/>
    <w:rsid w:val="0081211B"/>
    <w:rsid w:val="00813F40"/>
    <w:rsid w:val="00815EEA"/>
    <w:rsid w:val="00816458"/>
    <w:rsid w:val="00817137"/>
    <w:rsid w:val="00817D1C"/>
    <w:rsid w:val="0082062B"/>
    <w:rsid w:val="008218AD"/>
    <w:rsid w:val="00822905"/>
    <w:rsid w:val="00823341"/>
    <w:rsid w:val="008236AA"/>
    <w:rsid w:val="00823E6A"/>
    <w:rsid w:val="00824643"/>
    <w:rsid w:val="0082492C"/>
    <w:rsid w:val="0082658D"/>
    <w:rsid w:val="00826897"/>
    <w:rsid w:val="0082753A"/>
    <w:rsid w:val="00827CFA"/>
    <w:rsid w:val="00831FE8"/>
    <w:rsid w:val="00832443"/>
    <w:rsid w:val="008327D7"/>
    <w:rsid w:val="00833BB8"/>
    <w:rsid w:val="0083499D"/>
    <w:rsid w:val="008349CC"/>
    <w:rsid w:val="00836132"/>
    <w:rsid w:val="00840161"/>
    <w:rsid w:val="0084068C"/>
    <w:rsid w:val="008434A5"/>
    <w:rsid w:val="00843715"/>
    <w:rsid w:val="00843FC4"/>
    <w:rsid w:val="008455A5"/>
    <w:rsid w:val="008456C0"/>
    <w:rsid w:val="008460A4"/>
    <w:rsid w:val="00846108"/>
    <w:rsid w:val="008462E6"/>
    <w:rsid w:val="00847527"/>
    <w:rsid w:val="00847B94"/>
    <w:rsid w:val="0085058A"/>
    <w:rsid w:val="0085095A"/>
    <w:rsid w:val="008528AA"/>
    <w:rsid w:val="00853966"/>
    <w:rsid w:val="00853F4B"/>
    <w:rsid w:val="00854D0C"/>
    <w:rsid w:val="00856291"/>
    <w:rsid w:val="00856CF2"/>
    <w:rsid w:val="00856F10"/>
    <w:rsid w:val="0085708D"/>
    <w:rsid w:val="00857BC0"/>
    <w:rsid w:val="008600F7"/>
    <w:rsid w:val="00863C6C"/>
    <w:rsid w:val="00864892"/>
    <w:rsid w:val="00865283"/>
    <w:rsid w:val="008657B6"/>
    <w:rsid w:val="008660F3"/>
    <w:rsid w:val="00866982"/>
    <w:rsid w:val="0087060B"/>
    <w:rsid w:val="00871C26"/>
    <w:rsid w:val="008731A1"/>
    <w:rsid w:val="00873BEB"/>
    <w:rsid w:val="00874D58"/>
    <w:rsid w:val="00875EE3"/>
    <w:rsid w:val="0087744A"/>
    <w:rsid w:val="0087774C"/>
    <w:rsid w:val="008779DC"/>
    <w:rsid w:val="00880C6C"/>
    <w:rsid w:val="008832F1"/>
    <w:rsid w:val="00883D23"/>
    <w:rsid w:val="00886CB0"/>
    <w:rsid w:val="00887AF9"/>
    <w:rsid w:val="008904B5"/>
    <w:rsid w:val="00890CD1"/>
    <w:rsid w:val="008910B8"/>
    <w:rsid w:val="00895482"/>
    <w:rsid w:val="00896D69"/>
    <w:rsid w:val="00897071"/>
    <w:rsid w:val="008A0898"/>
    <w:rsid w:val="008A0BBB"/>
    <w:rsid w:val="008A28F5"/>
    <w:rsid w:val="008A2E5D"/>
    <w:rsid w:val="008A31CC"/>
    <w:rsid w:val="008A3BBD"/>
    <w:rsid w:val="008A3C8D"/>
    <w:rsid w:val="008A410B"/>
    <w:rsid w:val="008A4ADE"/>
    <w:rsid w:val="008A4B80"/>
    <w:rsid w:val="008A59CF"/>
    <w:rsid w:val="008A6428"/>
    <w:rsid w:val="008A6EDA"/>
    <w:rsid w:val="008A7032"/>
    <w:rsid w:val="008B021D"/>
    <w:rsid w:val="008B0967"/>
    <w:rsid w:val="008B2720"/>
    <w:rsid w:val="008B293D"/>
    <w:rsid w:val="008B3864"/>
    <w:rsid w:val="008B45D7"/>
    <w:rsid w:val="008B4D57"/>
    <w:rsid w:val="008B707E"/>
    <w:rsid w:val="008B7D0C"/>
    <w:rsid w:val="008C1FC5"/>
    <w:rsid w:val="008C1FFA"/>
    <w:rsid w:val="008C4770"/>
    <w:rsid w:val="008C7065"/>
    <w:rsid w:val="008D0141"/>
    <w:rsid w:val="008D140F"/>
    <w:rsid w:val="008D24A6"/>
    <w:rsid w:val="008D2D4A"/>
    <w:rsid w:val="008D3837"/>
    <w:rsid w:val="008D3FB2"/>
    <w:rsid w:val="008D418B"/>
    <w:rsid w:val="008D5106"/>
    <w:rsid w:val="008E0A6D"/>
    <w:rsid w:val="008E2707"/>
    <w:rsid w:val="008E282A"/>
    <w:rsid w:val="008E32EB"/>
    <w:rsid w:val="008E4906"/>
    <w:rsid w:val="008E5741"/>
    <w:rsid w:val="008E59D7"/>
    <w:rsid w:val="008E791F"/>
    <w:rsid w:val="008F272C"/>
    <w:rsid w:val="008F3D45"/>
    <w:rsid w:val="008F6AE3"/>
    <w:rsid w:val="008F6C2C"/>
    <w:rsid w:val="008F6EED"/>
    <w:rsid w:val="008F7A05"/>
    <w:rsid w:val="009017C9"/>
    <w:rsid w:val="009029D7"/>
    <w:rsid w:val="00904748"/>
    <w:rsid w:val="00907856"/>
    <w:rsid w:val="00907F5B"/>
    <w:rsid w:val="00912B0D"/>
    <w:rsid w:val="00915D28"/>
    <w:rsid w:val="00915E96"/>
    <w:rsid w:val="0091619F"/>
    <w:rsid w:val="00916801"/>
    <w:rsid w:val="009202ED"/>
    <w:rsid w:val="00921C01"/>
    <w:rsid w:val="009234EA"/>
    <w:rsid w:val="00925983"/>
    <w:rsid w:val="00925B6A"/>
    <w:rsid w:val="00925F5C"/>
    <w:rsid w:val="009261F9"/>
    <w:rsid w:val="00927BA1"/>
    <w:rsid w:val="009308FD"/>
    <w:rsid w:val="00930C12"/>
    <w:rsid w:val="0093143C"/>
    <w:rsid w:val="0093315C"/>
    <w:rsid w:val="00936019"/>
    <w:rsid w:val="00936BF9"/>
    <w:rsid w:val="00936CC2"/>
    <w:rsid w:val="009400F8"/>
    <w:rsid w:val="00940A69"/>
    <w:rsid w:val="009413E0"/>
    <w:rsid w:val="00941E4A"/>
    <w:rsid w:val="009427B9"/>
    <w:rsid w:val="009443FB"/>
    <w:rsid w:val="009447B6"/>
    <w:rsid w:val="00944F69"/>
    <w:rsid w:val="0094628E"/>
    <w:rsid w:val="009462F7"/>
    <w:rsid w:val="00946776"/>
    <w:rsid w:val="009468C8"/>
    <w:rsid w:val="0095010D"/>
    <w:rsid w:val="0095024C"/>
    <w:rsid w:val="00950E4D"/>
    <w:rsid w:val="00952676"/>
    <w:rsid w:val="00952D4D"/>
    <w:rsid w:val="00953226"/>
    <w:rsid w:val="00954877"/>
    <w:rsid w:val="0095499C"/>
    <w:rsid w:val="009554FD"/>
    <w:rsid w:val="00955FC3"/>
    <w:rsid w:val="00956118"/>
    <w:rsid w:val="009567E1"/>
    <w:rsid w:val="0095765B"/>
    <w:rsid w:val="009579B3"/>
    <w:rsid w:val="0096127F"/>
    <w:rsid w:val="00961EF6"/>
    <w:rsid w:val="00963A78"/>
    <w:rsid w:val="00964F70"/>
    <w:rsid w:val="00965C12"/>
    <w:rsid w:val="00966126"/>
    <w:rsid w:val="0096613A"/>
    <w:rsid w:val="00966B74"/>
    <w:rsid w:val="00967767"/>
    <w:rsid w:val="009708A1"/>
    <w:rsid w:val="0097101A"/>
    <w:rsid w:val="00971943"/>
    <w:rsid w:val="00972F35"/>
    <w:rsid w:val="00973DE6"/>
    <w:rsid w:val="0097405E"/>
    <w:rsid w:val="009762ED"/>
    <w:rsid w:val="0097634C"/>
    <w:rsid w:val="00977619"/>
    <w:rsid w:val="00981036"/>
    <w:rsid w:val="00982585"/>
    <w:rsid w:val="00982855"/>
    <w:rsid w:val="00982E95"/>
    <w:rsid w:val="00982FF9"/>
    <w:rsid w:val="00983E82"/>
    <w:rsid w:val="009842CB"/>
    <w:rsid w:val="00984482"/>
    <w:rsid w:val="0098502A"/>
    <w:rsid w:val="009851DC"/>
    <w:rsid w:val="0098605C"/>
    <w:rsid w:val="00987D80"/>
    <w:rsid w:val="00987FD3"/>
    <w:rsid w:val="0099083C"/>
    <w:rsid w:val="00994189"/>
    <w:rsid w:val="009943FD"/>
    <w:rsid w:val="00994809"/>
    <w:rsid w:val="00996147"/>
    <w:rsid w:val="009A0AB8"/>
    <w:rsid w:val="009A1299"/>
    <w:rsid w:val="009A14C6"/>
    <w:rsid w:val="009A15B5"/>
    <w:rsid w:val="009A214B"/>
    <w:rsid w:val="009A30AC"/>
    <w:rsid w:val="009A4082"/>
    <w:rsid w:val="009A44E1"/>
    <w:rsid w:val="009A4939"/>
    <w:rsid w:val="009A5CA8"/>
    <w:rsid w:val="009A6401"/>
    <w:rsid w:val="009A6CBC"/>
    <w:rsid w:val="009A7883"/>
    <w:rsid w:val="009A7E02"/>
    <w:rsid w:val="009B03DB"/>
    <w:rsid w:val="009B1762"/>
    <w:rsid w:val="009B4223"/>
    <w:rsid w:val="009B49BB"/>
    <w:rsid w:val="009B4A32"/>
    <w:rsid w:val="009B5D89"/>
    <w:rsid w:val="009B751E"/>
    <w:rsid w:val="009B7981"/>
    <w:rsid w:val="009C02C4"/>
    <w:rsid w:val="009C0E05"/>
    <w:rsid w:val="009C1973"/>
    <w:rsid w:val="009C24CF"/>
    <w:rsid w:val="009C5DEF"/>
    <w:rsid w:val="009C6C54"/>
    <w:rsid w:val="009C6F8E"/>
    <w:rsid w:val="009C7FD9"/>
    <w:rsid w:val="009D1688"/>
    <w:rsid w:val="009D1D11"/>
    <w:rsid w:val="009D28CB"/>
    <w:rsid w:val="009D28D7"/>
    <w:rsid w:val="009D3178"/>
    <w:rsid w:val="009D3A4E"/>
    <w:rsid w:val="009D4B46"/>
    <w:rsid w:val="009D734B"/>
    <w:rsid w:val="009D7F60"/>
    <w:rsid w:val="009E02BB"/>
    <w:rsid w:val="009E078B"/>
    <w:rsid w:val="009E0859"/>
    <w:rsid w:val="009E106E"/>
    <w:rsid w:val="009E1999"/>
    <w:rsid w:val="009E2AE7"/>
    <w:rsid w:val="009E2F0A"/>
    <w:rsid w:val="009E3684"/>
    <w:rsid w:val="009E4115"/>
    <w:rsid w:val="009F0EE0"/>
    <w:rsid w:val="009F1E5E"/>
    <w:rsid w:val="009F2ADB"/>
    <w:rsid w:val="009F37CA"/>
    <w:rsid w:val="009F4CB9"/>
    <w:rsid w:val="009F5011"/>
    <w:rsid w:val="009F58B4"/>
    <w:rsid w:val="009F5C6B"/>
    <w:rsid w:val="009F67BE"/>
    <w:rsid w:val="009F7ECE"/>
    <w:rsid w:val="00A004E5"/>
    <w:rsid w:val="00A00ABC"/>
    <w:rsid w:val="00A02BCC"/>
    <w:rsid w:val="00A02F92"/>
    <w:rsid w:val="00A032FD"/>
    <w:rsid w:val="00A04CAB"/>
    <w:rsid w:val="00A06CE0"/>
    <w:rsid w:val="00A06EC5"/>
    <w:rsid w:val="00A10F69"/>
    <w:rsid w:val="00A12B29"/>
    <w:rsid w:val="00A148C0"/>
    <w:rsid w:val="00A14A6B"/>
    <w:rsid w:val="00A15731"/>
    <w:rsid w:val="00A20FEA"/>
    <w:rsid w:val="00A2254B"/>
    <w:rsid w:val="00A22C35"/>
    <w:rsid w:val="00A2418F"/>
    <w:rsid w:val="00A2463E"/>
    <w:rsid w:val="00A259FB"/>
    <w:rsid w:val="00A279F1"/>
    <w:rsid w:val="00A31296"/>
    <w:rsid w:val="00A332E5"/>
    <w:rsid w:val="00A33735"/>
    <w:rsid w:val="00A35A5B"/>
    <w:rsid w:val="00A35D6B"/>
    <w:rsid w:val="00A36B7D"/>
    <w:rsid w:val="00A40923"/>
    <w:rsid w:val="00A40C51"/>
    <w:rsid w:val="00A44AD7"/>
    <w:rsid w:val="00A45996"/>
    <w:rsid w:val="00A46FB2"/>
    <w:rsid w:val="00A47930"/>
    <w:rsid w:val="00A47938"/>
    <w:rsid w:val="00A47B61"/>
    <w:rsid w:val="00A54AE6"/>
    <w:rsid w:val="00A559C1"/>
    <w:rsid w:val="00A56AD3"/>
    <w:rsid w:val="00A5750F"/>
    <w:rsid w:val="00A57A01"/>
    <w:rsid w:val="00A57CE7"/>
    <w:rsid w:val="00A61593"/>
    <w:rsid w:val="00A61A0D"/>
    <w:rsid w:val="00A61A43"/>
    <w:rsid w:val="00A61CE4"/>
    <w:rsid w:val="00A63055"/>
    <w:rsid w:val="00A63892"/>
    <w:rsid w:val="00A65B7D"/>
    <w:rsid w:val="00A65C20"/>
    <w:rsid w:val="00A66002"/>
    <w:rsid w:val="00A6606E"/>
    <w:rsid w:val="00A66099"/>
    <w:rsid w:val="00A66D1A"/>
    <w:rsid w:val="00A70CC7"/>
    <w:rsid w:val="00A71443"/>
    <w:rsid w:val="00A73AD7"/>
    <w:rsid w:val="00A753EB"/>
    <w:rsid w:val="00A7614A"/>
    <w:rsid w:val="00A77901"/>
    <w:rsid w:val="00A81925"/>
    <w:rsid w:val="00A83F77"/>
    <w:rsid w:val="00A844AF"/>
    <w:rsid w:val="00A84F6F"/>
    <w:rsid w:val="00A8544E"/>
    <w:rsid w:val="00A85768"/>
    <w:rsid w:val="00A859DE"/>
    <w:rsid w:val="00A86288"/>
    <w:rsid w:val="00A901DA"/>
    <w:rsid w:val="00A90988"/>
    <w:rsid w:val="00A91111"/>
    <w:rsid w:val="00A91AAC"/>
    <w:rsid w:val="00A91F24"/>
    <w:rsid w:val="00A924D5"/>
    <w:rsid w:val="00A927A5"/>
    <w:rsid w:val="00A92DEC"/>
    <w:rsid w:val="00A9492F"/>
    <w:rsid w:val="00A95CFF"/>
    <w:rsid w:val="00A9618C"/>
    <w:rsid w:val="00A976AA"/>
    <w:rsid w:val="00AA00BE"/>
    <w:rsid w:val="00AA1FC3"/>
    <w:rsid w:val="00AA28E4"/>
    <w:rsid w:val="00AA4D1F"/>
    <w:rsid w:val="00AA5197"/>
    <w:rsid w:val="00AA57F6"/>
    <w:rsid w:val="00AA6291"/>
    <w:rsid w:val="00AA6367"/>
    <w:rsid w:val="00AB0786"/>
    <w:rsid w:val="00AB42D9"/>
    <w:rsid w:val="00AB743B"/>
    <w:rsid w:val="00AB7B86"/>
    <w:rsid w:val="00AC0452"/>
    <w:rsid w:val="00AC0736"/>
    <w:rsid w:val="00AC1C7B"/>
    <w:rsid w:val="00AC30CF"/>
    <w:rsid w:val="00AC3427"/>
    <w:rsid w:val="00AC4E10"/>
    <w:rsid w:val="00AC5D35"/>
    <w:rsid w:val="00AC5E13"/>
    <w:rsid w:val="00AC6F49"/>
    <w:rsid w:val="00AC7BB6"/>
    <w:rsid w:val="00AD02B3"/>
    <w:rsid w:val="00AD0BE8"/>
    <w:rsid w:val="00AD2113"/>
    <w:rsid w:val="00AD3ED4"/>
    <w:rsid w:val="00AD478A"/>
    <w:rsid w:val="00AE097C"/>
    <w:rsid w:val="00AE1FA8"/>
    <w:rsid w:val="00AE340C"/>
    <w:rsid w:val="00AE4889"/>
    <w:rsid w:val="00AE501E"/>
    <w:rsid w:val="00AE52F1"/>
    <w:rsid w:val="00AE5AFE"/>
    <w:rsid w:val="00AE65DE"/>
    <w:rsid w:val="00AE6715"/>
    <w:rsid w:val="00AE7E06"/>
    <w:rsid w:val="00AF034F"/>
    <w:rsid w:val="00AF3049"/>
    <w:rsid w:val="00AF3C28"/>
    <w:rsid w:val="00AF4164"/>
    <w:rsid w:val="00AF44D8"/>
    <w:rsid w:val="00AF48ED"/>
    <w:rsid w:val="00AF4C7F"/>
    <w:rsid w:val="00AF4DFD"/>
    <w:rsid w:val="00AF50C9"/>
    <w:rsid w:val="00AF523F"/>
    <w:rsid w:val="00AF5416"/>
    <w:rsid w:val="00AF563D"/>
    <w:rsid w:val="00AF6F40"/>
    <w:rsid w:val="00AF75D2"/>
    <w:rsid w:val="00AF7903"/>
    <w:rsid w:val="00B000AE"/>
    <w:rsid w:val="00B006EA"/>
    <w:rsid w:val="00B00E5F"/>
    <w:rsid w:val="00B010A2"/>
    <w:rsid w:val="00B02F4B"/>
    <w:rsid w:val="00B03CE8"/>
    <w:rsid w:val="00B04EB1"/>
    <w:rsid w:val="00B06B91"/>
    <w:rsid w:val="00B07B64"/>
    <w:rsid w:val="00B07CD5"/>
    <w:rsid w:val="00B10A9F"/>
    <w:rsid w:val="00B11014"/>
    <w:rsid w:val="00B13A37"/>
    <w:rsid w:val="00B13AFC"/>
    <w:rsid w:val="00B1522E"/>
    <w:rsid w:val="00B154E8"/>
    <w:rsid w:val="00B1595D"/>
    <w:rsid w:val="00B16321"/>
    <w:rsid w:val="00B16D6B"/>
    <w:rsid w:val="00B17682"/>
    <w:rsid w:val="00B17EAF"/>
    <w:rsid w:val="00B202AF"/>
    <w:rsid w:val="00B228BA"/>
    <w:rsid w:val="00B2414F"/>
    <w:rsid w:val="00B25D72"/>
    <w:rsid w:val="00B2634F"/>
    <w:rsid w:val="00B26720"/>
    <w:rsid w:val="00B2739B"/>
    <w:rsid w:val="00B30C0D"/>
    <w:rsid w:val="00B315DD"/>
    <w:rsid w:val="00B31696"/>
    <w:rsid w:val="00B320A5"/>
    <w:rsid w:val="00B324D2"/>
    <w:rsid w:val="00B33FCB"/>
    <w:rsid w:val="00B344FE"/>
    <w:rsid w:val="00B348CB"/>
    <w:rsid w:val="00B359EF"/>
    <w:rsid w:val="00B36B1F"/>
    <w:rsid w:val="00B405B6"/>
    <w:rsid w:val="00B42357"/>
    <w:rsid w:val="00B43325"/>
    <w:rsid w:val="00B43333"/>
    <w:rsid w:val="00B440FD"/>
    <w:rsid w:val="00B46EC3"/>
    <w:rsid w:val="00B471E6"/>
    <w:rsid w:val="00B500C1"/>
    <w:rsid w:val="00B506D7"/>
    <w:rsid w:val="00B50F48"/>
    <w:rsid w:val="00B534F5"/>
    <w:rsid w:val="00B53C91"/>
    <w:rsid w:val="00B53D34"/>
    <w:rsid w:val="00B5428C"/>
    <w:rsid w:val="00B54549"/>
    <w:rsid w:val="00B55443"/>
    <w:rsid w:val="00B564F6"/>
    <w:rsid w:val="00B57561"/>
    <w:rsid w:val="00B6079D"/>
    <w:rsid w:val="00B62307"/>
    <w:rsid w:val="00B637A3"/>
    <w:rsid w:val="00B668A6"/>
    <w:rsid w:val="00B705B1"/>
    <w:rsid w:val="00B7128C"/>
    <w:rsid w:val="00B71D50"/>
    <w:rsid w:val="00B72791"/>
    <w:rsid w:val="00B73061"/>
    <w:rsid w:val="00B7368F"/>
    <w:rsid w:val="00B76D8F"/>
    <w:rsid w:val="00B774EF"/>
    <w:rsid w:val="00B8025B"/>
    <w:rsid w:val="00B81044"/>
    <w:rsid w:val="00B81949"/>
    <w:rsid w:val="00B825E6"/>
    <w:rsid w:val="00B8324F"/>
    <w:rsid w:val="00B85357"/>
    <w:rsid w:val="00B87D4D"/>
    <w:rsid w:val="00B9026A"/>
    <w:rsid w:val="00B903DB"/>
    <w:rsid w:val="00B91901"/>
    <w:rsid w:val="00B919D5"/>
    <w:rsid w:val="00B923B6"/>
    <w:rsid w:val="00B93256"/>
    <w:rsid w:val="00B95BEB"/>
    <w:rsid w:val="00B971E9"/>
    <w:rsid w:val="00B97464"/>
    <w:rsid w:val="00B975EB"/>
    <w:rsid w:val="00B976BB"/>
    <w:rsid w:val="00BA03E0"/>
    <w:rsid w:val="00BA1404"/>
    <w:rsid w:val="00BA1E44"/>
    <w:rsid w:val="00BA2475"/>
    <w:rsid w:val="00BA309C"/>
    <w:rsid w:val="00BA4BC1"/>
    <w:rsid w:val="00BA5BB0"/>
    <w:rsid w:val="00BA6B34"/>
    <w:rsid w:val="00BA774F"/>
    <w:rsid w:val="00BB01D9"/>
    <w:rsid w:val="00BB1B54"/>
    <w:rsid w:val="00BB303F"/>
    <w:rsid w:val="00BB3B1E"/>
    <w:rsid w:val="00BB3C63"/>
    <w:rsid w:val="00BB3E29"/>
    <w:rsid w:val="00BB5227"/>
    <w:rsid w:val="00BB60E0"/>
    <w:rsid w:val="00BB61D1"/>
    <w:rsid w:val="00BB71FD"/>
    <w:rsid w:val="00BB732D"/>
    <w:rsid w:val="00BC02F6"/>
    <w:rsid w:val="00BC0807"/>
    <w:rsid w:val="00BC2948"/>
    <w:rsid w:val="00BC30EC"/>
    <w:rsid w:val="00BC42BA"/>
    <w:rsid w:val="00BC4AE4"/>
    <w:rsid w:val="00BC5C0F"/>
    <w:rsid w:val="00BC67FE"/>
    <w:rsid w:val="00BC6A00"/>
    <w:rsid w:val="00BC6DCA"/>
    <w:rsid w:val="00BC7EF3"/>
    <w:rsid w:val="00BD039B"/>
    <w:rsid w:val="00BD1857"/>
    <w:rsid w:val="00BD2413"/>
    <w:rsid w:val="00BD3416"/>
    <w:rsid w:val="00BD38A1"/>
    <w:rsid w:val="00BD43DE"/>
    <w:rsid w:val="00BD6590"/>
    <w:rsid w:val="00BD66F4"/>
    <w:rsid w:val="00BD6C87"/>
    <w:rsid w:val="00BE0BE4"/>
    <w:rsid w:val="00BE1973"/>
    <w:rsid w:val="00BE19EC"/>
    <w:rsid w:val="00BE230C"/>
    <w:rsid w:val="00BE2868"/>
    <w:rsid w:val="00BE34D3"/>
    <w:rsid w:val="00BE5C6A"/>
    <w:rsid w:val="00BE7839"/>
    <w:rsid w:val="00BE7AC9"/>
    <w:rsid w:val="00BF117C"/>
    <w:rsid w:val="00BF12D6"/>
    <w:rsid w:val="00BF4B40"/>
    <w:rsid w:val="00BF5993"/>
    <w:rsid w:val="00BF5E66"/>
    <w:rsid w:val="00BF6812"/>
    <w:rsid w:val="00BF706E"/>
    <w:rsid w:val="00BF74B1"/>
    <w:rsid w:val="00BF7F75"/>
    <w:rsid w:val="00C00A6B"/>
    <w:rsid w:val="00C0108B"/>
    <w:rsid w:val="00C06A9F"/>
    <w:rsid w:val="00C06E58"/>
    <w:rsid w:val="00C06F31"/>
    <w:rsid w:val="00C07EA5"/>
    <w:rsid w:val="00C10628"/>
    <w:rsid w:val="00C10978"/>
    <w:rsid w:val="00C118BC"/>
    <w:rsid w:val="00C13351"/>
    <w:rsid w:val="00C149A7"/>
    <w:rsid w:val="00C1578C"/>
    <w:rsid w:val="00C15D98"/>
    <w:rsid w:val="00C15FBD"/>
    <w:rsid w:val="00C15FE7"/>
    <w:rsid w:val="00C16282"/>
    <w:rsid w:val="00C165A9"/>
    <w:rsid w:val="00C17A84"/>
    <w:rsid w:val="00C17ACD"/>
    <w:rsid w:val="00C17B9B"/>
    <w:rsid w:val="00C20D27"/>
    <w:rsid w:val="00C2240A"/>
    <w:rsid w:val="00C23DC2"/>
    <w:rsid w:val="00C2465C"/>
    <w:rsid w:val="00C261F8"/>
    <w:rsid w:val="00C26E10"/>
    <w:rsid w:val="00C27518"/>
    <w:rsid w:val="00C300B8"/>
    <w:rsid w:val="00C308F4"/>
    <w:rsid w:val="00C31963"/>
    <w:rsid w:val="00C31EE1"/>
    <w:rsid w:val="00C32497"/>
    <w:rsid w:val="00C3289F"/>
    <w:rsid w:val="00C32A24"/>
    <w:rsid w:val="00C33997"/>
    <w:rsid w:val="00C345F7"/>
    <w:rsid w:val="00C35033"/>
    <w:rsid w:val="00C35636"/>
    <w:rsid w:val="00C412BC"/>
    <w:rsid w:val="00C41AE2"/>
    <w:rsid w:val="00C41F63"/>
    <w:rsid w:val="00C429DB"/>
    <w:rsid w:val="00C43BAC"/>
    <w:rsid w:val="00C4595B"/>
    <w:rsid w:val="00C46635"/>
    <w:rsid w:val="00C474F5"/>
    <w:rsid w:val="00C47D99"/>
    <w:rsid w:val="00C47EE5"/>
    <w:rsid w:val="00C50216"/>
    <w:rsid w:val="00C5260A"/>
    <w:rsid w:val="00C526A2"/>
    <w:rsid w:val="00C529A8"/>
    <w:rsid w:val="00C52A43"/>
    <w:rsid w:val="00C53911"/>
    <w:rsid w:val="00C541B3"/>
    <w:rsid w:val="00C56DB4"/>
    <w:rsid w:val="00C57457"/>
    <w:rsid w:val="00C61588"/>
    <w:rsid w:val="00C617B0"/>
    <w:rsid w:val="00C61F5C"/>
    <w:rsid w:val="00C62187"/>
    <w:rsid w:val="00C623A9"/>
    <w:rsid w:val="00C628BD"/>
    <w:rsid w:val="00C64EEC"/>
    <w:rsid w:val="00C6503F"/>
    <w:rsid w:val="00C65F3F"/>
    <w:rsid w:val="00C66CC2"/>
    <w:rsid w:val="00C674CD"/>
    <w:rsid w:val="00C6781A"/>
    <w:rsid w:val="00C67C5D"/>
    <w:rsid w:val="00C7065D"/>
    <w:rsid w:val="00C70BEF"/>
    <w:rsid w:val="00C70EC8"/>
    <w:rsid w:val="00C71AE6"/>
    <w:rsid w:val="00C71B21"/>
    <w:rsid w:val="00C74B3E"/>
    <w:rsid w:val="00C74F42"/>
    <w:rsid w:val="00C75186"/>
    <w:rsid w:val="00C75338"/>
    <w:rsid w:val="00C80B49"/>
    <w:rsid w:val="00C81883"/>
    <w:rsid w:val="00C82A57"/>
    <w:rsid w:val="00C83188"/>
    <w:rsid w:val="00C8322B"/>
    <w:rsid w:val="00C836F4"/>
    <w:rsid w:val="00C83874"/>
    <w:rsid w:val="00C83A32"/>
    <w:rsid w:val="00C844F0"/>
    <w:rsid w:val="00C8690B"/>
    <w:rsid w:val="00C90329"/>
    <w:rsid w:val="00C905E0"/>
    <w:rsid w:val="00C92191"/>
    <w:rsid w:val="00C92285"/>
    <w:rsid w:val="00C9269D"/>
    <w:rsid w:val="00C92909"/>
    <w:rsid w:val="00C94167"/>
    <w:rsid w:val="00C9475E"/>
    <w:rsid w:val="00C973B1"/>
    <w:rsid w:val="00C97A20"/>
    <w:rsid w:val="00CA0025"/>
    <w:rsid w:val="00CA0886"/>
    <w:rsid w:val="00CA1016"/>
    <w:rsid w:val="00CA1617"/>
    <w:rsid w:val="00CA2283"/>
    <w:rsid w:val="00CA38BB"/>
    <w:rsid w:val="00CA3A86"/>
    <w:rsid w:val="00CB0461"/>
    <w:rsid w:val="00CB13FD"/>
    <w:rsid w:val="00CB2E27"/>
    <w:rsid w:val="00CC0510"/>
    <w:rsid w:val="00CC3234"/>
    <w:rsid w:val="00CC3E84"/>
    <w:rsid w:val="00CC5D48"/>
    <w:rsid w:val="00CC5D4C"/>
    <w:rsid w:val="00CC61B7"/>
    <w:rsid w:val="00CC6662"/>
    <w:rsid w:val="00CD04EC"/>
    <w:rsid w:val="00CD0C68"/>
    <w:rsid w:val="00CD122D"/>
    <w:rsid w:val="00CD1B30"/>
    <w:rsid w:val="00CD1EE8"/>
    <w:rsid w:val="00CD48E9"/>
    <w:rsid w:val="00CD4EF6"/>
    <w:rsid w:val="00CD78E4"/>
    <w:rsid w:val="00CE00E4"/>
    <w:rsid w:val="00CE05C8"/>
    <w:rsid w:val="00CE1D80"/>
    <w:rsid w:val="00CE287A"/>
    <w:rsid w:val="00CE290F"/>
    <w:rsid w:val="00CE2C96"/>
    <w:rsid w:val="00CE37B9"/>
    <w:rsid w:val="00CE3C86"/>
    <w:rsid w:val="00CE4745"/>
    <w:rsid w:val="00CE6C15"/>
    <w:rsid w:val="00CE6C36"/>
    <w:rsid w:val="00CE6E82"/>
    <w:rsid w:val="00CF2884"/>
    <w:rsid w:val="00CF3C2F"/>
    <w:rsid w:val="00CF46F7"/>
    <w:rsid w:val="00CF5E2E"/>
    <w:rsid w:val="00CF5F28"/>
    <w:rsid w:val="00CF6014"/>
    <w:rsid w:val="00CF6DF0"/>
    <w:rsid w:val="00D0028E"/>
    <w:rsid w:val="00D01D4D"/>
    <w:rsid w:val="00D01E3D"/>
    <w:rsid w:val="00D02F04"/>
    <w:rsid w:val="00D03515"/>
    <w:rsid w:val="00D03FBF"/>
    <w:rsid w:val="00D06D54"/>
    <w:rsid w:val="00D101B1"/>
    <w:rsid w:val="00D107DA"/>
    <w:rsid w:val="00D11631"/>
    <w:rsid w:val="00D11BFB"/>
    <w:rsid w:val="00D13194"/>
    <w:rsid w:val="00D149EC"/>
    <w:rsid w:val="00D14DBB"/>
    <w:rsid w:val="00D15646"/>
    <w:rsid w:val="00D1655B"/>
    <w:rsid w:val="00D171B9"/>
    <w:rsid w:val="00D1784C"/>
    <w:rsid w:val="00D1798B"/>
    <w:rsid w:val="00D20045"/>
    <w:rsid w:val="00D206DB"/>
    <w:rsid w:val="00D20F7C"/>
    <w:rsid w:val="00D22C19"/>
    <w:rsid w:val="00D23B8E"/>
    <w:rsid w:val="00D24975"/>
    <w:rsid w:val="00D24E77"/>
    <w:rsid w:val="00D25FAA"/>
    <w:rsid w:val="00D260A2"/>
    <w:rsid w:val="00D26758"/>
    <w:rsid w:val="00D27358"/>
    <w:rsid w:val="00D302BC"/>
    <w:rsid w:val="00D30BA7"/>
    <w:rsid w:val="00D312AB"/>
    <w:rsid w:val="00D31BA8"/>
    <w:rsid w:val="00D32013"/>
    <w:rsid w:val="00D32277"/>
    <w:rsid w:val="00D34871"/>
    <w:rsid w:val="00D34F79"/>
    <w:rsid w:val="00D351C1"/>
    <w:rsid w:val="00D356F4"/>
    <w:rsid w:val="00D365AF"/>
    <w:rsid w:val="00D37970"/>
    <w:rsid w:val="00D402C2"/>
    <w:rsid w:val="00D403C9"/>
    <w:rsid w:val="00D4062A"/>
    <w:rsid w:val="00D40643"/>
    <w:rsid w:val="00D4066D"/>
    <w:rsid w:val="00D40980"/>
    <w:rsid w:val="00D409F5"/>
    <w:rsid w:val="00D40D99"/>
    <w:rsid w:val="00D41761"/>
    <w:rsid w:val="00D42078"/>
    <w:rsid w:val="00D42894"/>
    <w:rsid w:val="00D432C3"/>
    <w:rsid w:val="00D44572"/>
    <w:rsid w:val="00D46BF1"/>
    <w:rsid w:val="00D47C3F"/>
    <w:rsid w:val="00D5051A"/>
    <w:rsid w:val="00D52D37"/>
    <w:rsid w:val="00D5380B"/>
    <w:rsid w:val="00D5442E"/>
    <w:rsid w:val="00D5487A"/>
    <w:rsid w:val="00D56A0A"/>
    <w:rsid w:val="00D56DD4"/>
    <w:rsid w:val="00D57925"/>
    <w:rsid w:val="00D60DB2"/>
    <w:rsid w:val="00D612C4"/>
    <w:rsid w:val="00D61773"/>
    <w:rsid w:val="00D62ED3"/>
    <w:rsid w:val="00D62FFA"/>
    <w:rsid w:val="00D638B8"/>
    <w:rsid w:val="00D63B8D"/>
    <w:rsid w:val="00D645EB"/>
    <w:rsid w:val="00D65802"/>
    <w:rsid w:val="00D66395"/>
    <w:rsid w:val="00D72B36"/>
    <w:rsid w:val="00D746E3"/>
    <w:rsid w:val="00D7498B"/>
    <w:rsid w:val="00D755CD"/>
    <w:rsid w:val="00D75E09"/>
    <w:rsid w:val="00D76699"/>
    <w:rsid w:val="00D7766B"/>
    <w:rsid w:val="00D77E47"/>
    <w:rsid w:val="00D811B6"/>
    <w:rsid w:val="00D8191B"/>
    <w:rsid w:val="00D819FA"/>
    <w:rsid w:val="00D81E86"/>
    <w:rsid w:val="00D83B7C"/>
    <w:rsid w:val="00D83C49"/>
    <w:rsid w:val="00D84275"/>
    <w:rsid w:val="00D852DA"/>
    <w:rsid w:val="00D86270"/>
    <w:rsid w:val="00D8695E"/>
    <w:rsid w:val="00D878F6"/>
    <w:rsid w:val="00D87B6C"/>
    <w:rsid w:val="00D91440"/>
    <w:rsid w:val="00D916A2"/>
    <w:rsid w:val="00D91CE1"/>
    <w:rsid w:val="00D92CC8"/>
    <w:rsid w:val="00D93E20"/>
    <w:rsid w:val="00D94351"/>
    <w:rsid w:val="00D957F9"/>
    <w:rsid w:val="00D95D71"/>
    <w:rsid w:val="00D970F1"/>
    <w:rsid w:val="00DA10C2"/>
    <w:rsid w:val="00DA25C3"/>
    <w:rsid w:val="00DA2676"/>
    <w:rsid w:val="00DA368A"/>
    <w:rsid w:val="00DA37D3"/>
    <w:rsid w:val="00DA3CB6"/>
    <w:rsid w:val="00DA5284"/>
    <w:rsid w:val="00DA654F"/>
    <w:rsid w:val="00DA745C"/>
    <w:rsid w:val="00DA7AC5"/>
    <w:rsid w:val="00DB30AD"/>
    <w:rsid w:val="00DB3F19"/>
    <w:rsid w:val="00DB3F91"/>
    <w:rsid w:val="00DB42E7"/>
    <w:rsid w:val="00DB4F84"/>
    <w:rsid w:val="00DB6015"/>
    <w:rsid w:val="00DB6E19"/>
    <w:rsid w:val="00DC2F3B"/>
    <w:rsid w:val="00DC35BD"/>
    <w:rsid w:val="00DC398D"/>
    <w:rsid w:val="00DC3A9B"/>
    <w:rsid w:val="00DD0035"/>
    <w:rsid w:val="00DD0313"/>
    <w:rsid w:val="00DD09B5"/>
    <w:rsid w:val="00DD1CB7"/>
    <w:rsid w:val="00DD23FA"/>
    <w:rsid w:val="00DD243D"/>
    <w:rsid w:val="00DD37C0"/>
    <w:rsid w:val="00DD42AB"/>
    <w:rsid w:val="00DD4556"/>
    <w:rsid w:val="00DD4BA6"/>
    <w:rsid w:val="00DD71D3"/>
    <w:rsid w:val="00DE162F"/>
    <w:rsid w:val="00DE38E9"/>
    <w:rsid w:val="00DE66B4"/>
    <w:rsid w:val="00DE695D"/>
    <w:rsid w:val="00DE7F63"/>
    <w:rsid w:val="00DF14D0"/>
    <w:rsid w:val="00DF297A"/>
    <w:rsid w:val="00DF3378"/>
    <w:rsid w:val="00DF4101"/>
    <w:rsid w:val="00DF7479"/>
    <w:rsid w:val="00DF7754"/>
    <w:rsid w:val="00E00260"/>
    <w:rsid w:val="00E0139A"/>
    <w:rsid w:val="00E0196E"/>
    <w:rsid w:val="00E04AE0"/>
    <w:rsid w:val="00E04D1A"/>
    <w:rsid w:val="00E06416"/>
    <w:rsid w:val="00E11290"/>
    <w:rsid w:val="00E13289"/>
    <w:rsid w:val="00E14956"/>
    <w:rsid w:val="00E14B7A"/>
    <w:rsid w:val="00E155EB"/>
    <w:rsid w:val="00E22262"/>
    <w:rsid w:val="00E24362"/>
    <w:rsid w:val="00E2535B"/>
    <w:rsid w:val="00E34E3B"/>
    <w:rsid w:val="00E355E0"/>
    <w:rsid w:val="00E36AB4"/>
    <w:rsid w:val="00E37029"/>
    <w:rsid w:val="00E37071"/>
    <w:rsid w:val="00E40D30"/>
    <w:rsid w:val="00E41354"/>
    <w:rsid w:val="00E41D94"/>
    <w:rsid w:val="00E43063"/>
    <w:rsid w:val="00E451EC"/>
    <w:rsid w:val="00E456C6"/>
    <w:rsid w:val="00E4734E"/>
    <w:rsid w:val="00E500D9"/>
    <w:rsid w:val="00E50743"/>
    <w:rsid w:val="00E514A8"/>
    <w:rsid w:val="00E5256A"/>
    <w:rsid w:val="00E528A6"/>
    <w:rsid w:val="00E5366B"/>
    <w:rsid w:val="00E54854"/>
    <w:rsid w:val="00E551D6"/>
    <w:rsid w:val="00E55301"/>
    <w:rsid w:val="00E560C7"/>
    <w:rsid w:val="00E563C5"/>
    <w:rsid w:val="00E564F9"/>
    <w:rsid w:val="00E5768C"/>
    <w:rsid w:val="00E60803"/>
    <w:rsid w:val="00E60E15"/>
    <w:rsid w:val="00E6171B"/>
    <w:rsid w:val="00E62E17"/>
    <w:rsid w:val="00E64176"/>
    <w:rsid w:val="00E64BF5"/>
    <w:rsid w:val="00E661F1"/>
    <w:rsid w:val="00E66913"/>
    <w:rsid w:val="00E70321"/>
    <w:rsid w:val="00E7162D"/>
    <w:rsid w:val="00E71736"/>
    <w:rsid w:val="00E72795"/>
    <w:rsid w:val="00E73274"/>
    <w:rsid w:val="00E74EE1"/>
    <w:rsid w:val="00E75850"/>
    <w:rsid w:val="00E76A71"/>
    <w:rsid w:val="00E80776"/>
    <w:rsid w:val="00E80A2A"/>
    <w:rsid w:val="00E810CA"/>
    <w:rsid w:val="00E8131E"/>
    <w:rsid w:val="00E824AE"/>
    <w:rsid w:val="00E84F27"/>
    <w:rsid w:val="00E9193E"/>
    <w:rsid w:val="00E91998"/>
    <w:rsid w:val="00E91B53"/>
    <w:rsid w:val="00E91EF1"/>
    <w:rsid w:val="00E92BA2"/>
    <w:rsid w:val="00E93CC4"/>
    <w:rsid w:val="00E95112"/>
    <w:rsid w:val="00E971F4"/>
    <w:rsid w:val="00E978C4"/>
    <w:rsid w:val="00E97B0A"/>
    <w:rsid w:val="00EA03C8"/>
    <w:rsid w:val="00EA2069"/>
    <w:rsid w:val="00EA3BCE"/>
    <w:rsid w:val="00EA4012"/>
    <w:rsid w:val="00EB0709"/>
    <w:rsid w:val="00EB15C3"/>
    <w:rsid w:val="00EB4353"/>
    <w:rsid w:val="00EB4498"/>
    <w:rsid w:val="00EB4ED3"/>
    <w:rsid w:val="00EB5BC1"/>
    <w:rsid w:val="00EC0493"/>
    <w:rsid w:val="00EC1AA7"/>
    <w:rsid w:val="00EC2A8B"/>
    <w:rsid w:val="00EC330B"/>
    <w:rsid w:val="00EC4347"/>
    <w:rsid w:val="00EC4CB5"/>
    <w:rsid w:val="00EC630D"/>
    <w:rsid w:val="00EC6344"/>
    <w:rsid w:val="00ED0D63"/>
    <w:rsid w:val="00ED1D33"/>
    <w:rsid w:val="00ED23FD"/>
    <w:rsid w:val="00ED2AA7"/>
    <w:rsid w:val="00ED2B09"/>
    <w:rsid w:val="00ED2C98"/>
    <w:rsid w:val="00ED2E18"/>
    <w:rsid w:val="00ED4233"/>
    <w:rsid w:val="00ED4391"/>
    <w:rsid w:val="00ED5694"/>
    <w:rsid w:val="00ED6591"/>
    <w:rsid w:val="00EE02AD"/>
    <w:rsid w:val="00EE0460"/>
    <w:rsid w:val="00EE2E7B"/>
    <w:rsid w:val="00EE2E9E"/>
    <w:rsid w:val="00EE3670"/>
    <w:rsid w:val="00EE3DB4"/>
    <w:rsid w:val="00EE4F13"/>
    <w:rsid w:val="00EE53F1"/>
    <w:rsid w:val="00EE6742"/>
    <w:rsid w:val="00EE78FF"/>
    <w:rsid w:val="00EE7941"/>
    <w:rsid w:val="00EF13F6"/>
    <w:rsid w:val="00EF2753"/>
    <w:rsid w:val="00EF2EA8"/>
    <w:rsid w:val="00EF37B1"/>
    <w:rsid w:val="00EF469E"/>
    <w:rsid w:val="00EF479C"/>
    <w:rsid w:val="00EF6867"/>
    <w:rsid w:val="00EF74EC"/>
    <w:rsid w:val="00EF7D8F"/>
    <w:rsid w:val="00F00B25"/>
    <w:rsid w:val="00F02C2F"/>
    <w:rsid w:val="00F03647"/>
    <w:rsid w:val="00F04996"/>
    <w:rsid w:val="00F06493"/>
    <w:rsid w:val="00F0669F"/>
    <w:rsid w:val="00F0702C"/>
    <w:rsid w:val="00F10B78"/>
    <w:rsid w:val="00F10BA2"/>
    <w:rsid w:val="00F11641"/>
    <w:rsid w:val="00F117C2"/>
    <w:rsid w:val="00F11CA3"/>
    <w:rsid w:val="00F1274D"/>
    <w:rsid w:val="00F15CDA"/>
    <w:rsid w:val="00F17EB1"/>
    <w:rsid w:val="00F20F39"/>
    <w:rsid w:val="00F21201"/>
    <w:rsid w:val="00F21D46"/>
    <w:rsid w:val="00F21E73"/>
    <w:rsid w:val="00F22B17"/>
    <w:rsid w:val="00F2311E"/>
    <w:rsid w:val="00F251CD"/>
    <w:rsid w:val="00F258F2"/>
    <w:rsid w:val="00F261DD"/>
    <w:rsid w:val="00F27B55"/>
    <w:rsid w:val="00F30178"/>
    <w:rsid w:val="00F30596"/>
    <w:rsid w:val="00F30704"/>
    <w:rsid w:val="00F3341E"/>
    <w:rsid w:val="00F359DC"/>
    <w:rsid w:val="00F36693"/>
    <w:rsid w:val="00F3740E"/>
    <w:rsid w:val="00F377D8"/>
    <w:rsid w:val="00F417F7"/>
    <w:rsid w:val="00F43147"/>
    <w:rsid w:val="00F45BFB"/>
    <w:rsid w:val="00F467DE"/>
    <w:rsid w:val="00F47B7D"/>
    <w:rsid w:val="00F506DB"/>
    <w:rsid w:val="00F50AAA"/>
    <w:rsid w:val="00F520D7"/>
    <w:rsid w:val="00F52EE9"/>
    <w:rsid w:val="00F52FDB"/>
    <w:rsid w:val="00F546ED"/>
    <w:rsid w:val="00F54717"/>
    <w:rsid w:val="00F55021"/>
    <w:rsid w:val="00F55CA9"/>
    <w:rsid w:val="00F56EFC"/>
    <w:rsid w:val="00F56FC0"/>
    <w:rsid w:val="00F57BE9"/>
    <w:rsid w:val="00F60281"/>
    <w:rsid w:val="00F617DB"/>
    <w:rsid w:val="00F62CA9"/>
    <w:rsid w:val="00F64B9D"/>
    <w:rsid w:val="00F72467"/>
    <w:rsid w:val="00F72BA0"/>
    <w:rsid w:val="00F7445E"/>
    <w:rsid w:val="00F749E7"/>
    <w:rsid w:val="00F7708C"/>
    <w:rsid w:val="00F77BF7"/>
    <w:rsid w:val="00F77E85"/>
    <w:rsid w:val="00F800F7"/>
    <w:rsid w:val="00F8348F"/>
    <w:rsid w:val="00F83A3C"/>
    <w:rsid w:val="00F857EA"/>
    <w:rsid w:val="00F85B20"/>
    <w:rsid w:val="00F85F6B"/>
    <w:rsid w:val="00F8647A"/>
    <w:rsid w:val="00F91293"/>
    <w:rsid w:val="00F912E4"/>
    <w:rsid w:val="00F92496"/>
    <w:rsid w:val="00F92846"/>
    <w:rsid w:val="00F93267"/>
    <w:rsid w:val="00F93898"/>
    <w:rsid w:val="00F941CE"/>
    <w:rsid w:val="00F94880"/>
    <w:rsid w:val="00F95070"/>
    <w:rsid w:val="00F95523"/>
    <w:rsid w:val="00F95AAC"/>
    <w:rsid w:val="00F968F3"/>
    <w:rsid w:val="00F97424"/>
    <w:rsid w:val="00F97B3B"/>
    <w:rsid w:val="00FA2266"/>
    <w:rsid w:val="00FA254D"/>
    <w:rsid w:val="00FA627E"/>
    <w:rsid w:val="00FA7090"/>
    <w:rsid w:val="00FA7327"/>
    <w:rsid w:val="00FA7532"/>
    <w:rsid w:val="00FA791F"/>
    <w:rsid w:val="00FA79EC"/>
    <w:rsid w:val="00FB034A"/>
    <w:rsid w:val="00FB114B"/>
    <w:rsid w:val="00FB1C47"/>
    <w:rsid w:val="00FB36B9"/>
    <w:rsid w:val="00FB4994"/>
    <w:rsid w:val="00FB4BD7"/>
    <w:rsid w:val="00FB55CD"/>
    <w:rsid w:val="00FB77DD"/>
    <w:rsid w:val="00FC0095"/>
    <w:rsid w:val="00FC03F9"/>
    <w:rsid w:val="00FC08EE"/>
    <w:rsid w:val="00FC0A35"/>
    <w:rsid w:val="00FC0A77"/>
    <w:rsid w:val="00FC23A4"/>
    <w:rsid w:val="00FC40E5"/>
    <w:rsid w:val="00FC4FF9"/>
    <w:rsid w:val="00FC68C4"/>
    <w:rsid w:val="00FD00C3"/>
    <w:rsid w:val="00FD0A39"/>
    <w:rsid w:val="00FD17EF"/>
    <w:rsid w:val="00FD2F05"/>
    <w:rsid w:val="00FD30BF"/>
    <w:rsid w:val="00FD3B5E"/>
    <w:rsid w:val="00FD544B"/>
    <w:rsid w:val="00FD5FB6"/>
    <w:rsid w:val="00FD6316"/>
    <w:rsid w:val="00FD665F"/>
    <w:rsid w:val="00FD6A09"/>
    <w:rsid w:val="00FD7533"/>
    <w:rsid w:val="00FD7604"/>
    <w:rsid w:val="00FD7911"/>
    <w:rsid w:val="00FE0F6E"/>
    <w:rsid w:val="00FE1A34"/>
    <w:rsid w:val="00FE1D42"/>
    <w:rsid w:val="00FE2338"/>
    <w:rsid w:val="00FE322F"/>
    <w:rsid w:val="00FE3699"/>
    <w:rsid w:val="00FE4536"/>
    <w:rsid w:val="00FE6D01"/>
    <w:rsid w:val="00FE70BA"/>
    <w:rsid w:val="00FF0591"/>
    <w:rsid w:val="00FF17E1"/>
    <w:rsid w:val="00FF1C96"/>
    <w:rsid w:val="00FF2A9A"/>
    <w:rsid w:val="00FF2F0F"/>
    <w:rsid w:val="00FF3585"/>
    <w:rsid w:val="00FF3E20"/>
    <w:rsid w:val="00FF404E"/>
    <w:rsid w:val="00FF5421"/>
    <w:rsid w:val="00FF5873"/>
    <w:rsid w:val="00FF5C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7C9D"/>
  <w15:chartTrackingRefBased/>
  <w15:docId w15:val="{D8711DD8-430A-47B8-87F9-7E321A19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2CA9"/>
    <w:pPr>
      <w:keepNext/>
      <w:keepLines/>
      <w:spacing w:before="360" w:after="80"/>
      <w:outlineLvl w:val="0"/>
    </w:pPr>
    <w:rPr>
      <w:rFonts w:ascii="Times New Roman" w:eastAsiaTheme="majorEastAsia" w:hAnsi="Times New Roman" w:cstheme="majorBidi"/>
      <w:b/>
      <w:szCs w:val="40"/>
    </w:rPr>
  </w:style>
  <w:style w:type="paragraph" w:styleId="Heading2">
    <w:name w:val="heading 2"/>
    <w:basedOn w:val="Normal"/>
    <w:next w:val="Normal"/>
    <w:link w:val="Heading2Char"/>
    <w:uiPriority w:val="9"/>
    <w:unhideWhenUsed/>
    <w:qFormat/>
    <w:rsid w:val="00D95D71"/>
    <w:pPr>
      <w:keepNext/>
      <w:keepLines/>
      <w:spacing w:before="160" w:after="80"/>
      <w:outlineLvl w:val="1"/>
    </w:pPr>
    <w:rPr>
      <w:rFonts w:ascii="Times New Roman" w:eastAsiaTheme="majorEastAsia" w:hAnsi="Times New Roman" w:cstheme="majorBidi"/>
      <w:b/>
      <w:szCs w:val="32"/>
    </w:rPr>
  </w:style>
  <w:style w:type="paragraph" w:styleId="Heading3">
    <w:name w:val="heading 3"/>
    <w:basedOn w:val="Normal"/>
    <w:next w:val="Normal"/>
    <w:link w:val="Heading3Char"/>
    <w:uiPriority w:val="9"/>
    <w:unhideWhenUsed/>
    <w:qFormat/>
    <w:rsid w:val="00F62C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2C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2C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2C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2C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2C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2C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CA9"/>
    <w:rPr>
      <w:rFonts w:ascii="Times New Roman" w:eastAsiaTheme="majorEastAsia" w:hAnsi="Times New Roman" w:cstheme="majorBidi"/>
      <w:b/>
      <w:szCs w:val="40"/>
    </w:rPr>
  </w:style>
  <w:style w:type="character" w:customStyle="1" w:styleId="Heading2Char">
    <w:name w:val="Heading 2 Char"/>
    <w:basedOn w:val="DefaultParagraphFont"/>
    <w:link w:val="Heading2"/>
    <w:uiPriority w:val="9"/>
    <w:rsid w:val="00D95D71"/>
    <w:rPr>
      <w:rFonts w:ascii="Times New Roman" w:eastAsiaTheme="majorEastAsia" w:hAnsi="Times New Roman" w:cstheme="majorBidi"/>
      <w:b/>
      <w:szCs w:val="32"/>
    </w:rPr>
  </w:style>
  <w:style w:type="character" w:customStyle="1" w:styleId="Heading3Char">
    <w:name w:val="Heading 3 Char"/>
    <w:basedOn w:val="DefaultParagraphFont"/>
    <w:link w:val="Heading3"/>
    <w:uiPriority w:val="9"/>
    <w:rsid w:val="00F62C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2C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2C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2C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2C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2C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2CA9"/>
    <w:rPr>
      <w:rFonts w:eastAsiaTheme="majorEastAsia" w:cstheme="majorBidi"/>
      <w:color w:val="272727" w:themeColor="text1" w:themeTint="D8"/>
    </w:rPr>
  </w:style>
  <w:style w:type="paragraph" w:styleId="Title">
    <w:name w:val="Title"/>
    <w:basedOn w:val="Normal"/>
    <w:next w:val="Normal"/>
    <w:link w:val="TitleChar"/>
    <w:uiPriority w:val="10"/>
    <w:qFormat/>
    <w:rsid w:val="00F62C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2C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2C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2C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2CA9"/>
    <w:pPr>
      <w:spacing w:before="160"/>
      <w:jc w:val="center"/>
    </w:pPr>
    <w:rPr>
      <w:i/>
      <w:iCs/>
      <w:color w:val="404040" w:themeColor="text1" w:themeTint="BF"/>
    </w:rPr>
  </w:style>
  <w:style w:type="character" w:customStyle="1" w:styleId="QuoteChar">
    <w:name w:val="Quote Char"/>
    <w:basedOn w:val="DefaultParagraphFont"/>
    <w:link w:val="Quote"/>
    <w:uiPriority w:val="29"/>
    <w:rsid w:val="00F62CA9"/>
    <w:rPr>
      <w:i/>
      <w:iCs/>
      <w:color w:val="404040" w:themeColor="text1" w:themeTint="BF"/>
    </w:rPr>
  </w:style>
  <w:style w:type="paragraph" w:styleId="ListParagraph">
    <w:name w:val="List Paragraph"/>
    <w:basedOn w:val="Normal"/>
    <w:uiPriority w:val="34"/>
    <w:qFormat/>
    <w:rsid w:val="00F62CA9"/>
    <w:pPr>
      <w:ind w:left="720"/>
      <w:contextualSpacing/>
    </w:pPr>
  </w:style>
  <w:style w:type="character" w:styleId="IntenseEmphasis">
    <w:name w:val="Intense Emphasis"/>
    <w:basedOn w:val="DefaultParagraphFont"/>
    <w:uiPriority w:val="21"/>
    <w:qFormat/>
    <w:rsid w:val="00F62CA9"/>
    <w:rPr>
      <w:i/>
      <w:iCs/>
      <w:color w:val="0F4761" w:themeColor="accent1" w:themeShade="BF"/>
    </w:rPr>
  </w:style>
  <w:style w:type="paragraph" w:styleId="IntenseQuote">
    <w:name w:val="Intense Quote"/>
    <w:basedOn w:val="Normal"/>
    <w:next w:val="Normal"/>
    <w:link w:val="IntenseQuoteChar"/>
    <w:uiPriority w:val="30"/>
    <w:qFormat/>
    <w:rsid w:val="00F62C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2CA9"/>
    <w:rPr>
      <w:i/>
      <w:iCs/>
      <w:color w:val="0F4761" w:themeColor="accent1" w:themeShade="BF"/>
    </w:rPr>
  </w:style>
  <w:style w:type="character" w:styleId="IntenseReference">
    <w:name w:val="Intense Reference"/>
    <w:basedOn w:val="DefaultParagraphFont"/>
    <w:uiPriority w:val="32"/>
    <w:qFormat/>
    <w:rsid w:val="00F62CA9"/>
    <w:rPr>
      <w:b/>
      <w:bCs/>
      <w:smallCaps/>
      <w:color w:val="0F4761" w:themeColor="accent1" w:themeShade="BF"/>
      <w:spacing w:val="5"/>
    </w:rPr>
  </w:style>
  <w:style w:type="character" w:styleId="Hyperlink">
    <w:name w:val="Hyperlink"/>
    <w:basedOn w:val="DefaultParagraphFont"/>
    <w:uiPriority w:val="99"/>
    <w:unhideWhenUsed/>
    <w:rsid w:val="00F62CA9"/>
    <w:rPr>
      <w:color w:val="467886" w:themeColor="hyperlink"/>
      <w:u w:val="single"/>
    </w:rPr>
  </w:style>
  <w:style w:type="character" w:styleId="UnresolvedMention">
    <w:name w:val="Unresolved Mention"/>
    <w:basedOn w:val="DefaultParagraphFont"/>
    <w:uiPriority w:val="99"/>
    <w:semiHidden/>
    <w:unhideWhenUsed/>
    <w:rsid w:val="00F62CA9"/>
    <w:rPr>
      <w:color w:val="605E5C"/>
      <w:shd w:val="clear" w:color="auto" w:fill="E1DFDD"/>
    </w:rPr>
  </w:style>
  <w:style w:type="paragraph" w:styleId="Header">
    <w:name w:val="header"/>
    <w:basedOn w:val="Normal"/>
    <w:link w:val="HeaderChar"/>
    <w:uiPriority w:val="99"/>
    <w:unhideWhenUsed/>
    <w:rsid w:val="00F62C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CA9"/>
  </w:style>
  <w:style w:type="paragraph" w:styleId="Footer">
    <w:name w:val="footer"/>
    <w:basedOn w:val="Normal"/>
    <w:link w:val="FooterChar"/>
    <w:uiPriority w:val="99"/>
    <w:unhideWhenUsed/>
    <w:rsid w:val="00F62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CA9"/>
  </w:style>
  <w:style w:type="paragraph" w:styleId="ListBullet">
    <w:name w:val="List Bullet"/>
    <w:basedOn w:val="Normal"/>
    <w:uiPriority w:val="99"/>
    <w:unhideWhenUsed/>
    <w:rsid w:val="00E97B0A"/>
    <w:pPr>
      <w:numPr>
        <w:numId w:val="1"/>
      </w:numPr>
      <w:spacing w:after="200" w:line="276" w:lineRule="auto"/>
      <w:contextualSpacing/>
    </w:pPr>
    <w:rPr>
      <w:rFonts w:eastAsiaTheme="minorEastAsia"/>
      <w:kern w:val="0"/>
      <w:sz w:val="22"/>
      <w:szCs w:val="22"/>
      <w:lang w:val="en-US"/>
      <w14:ligatures w14:val="none"/>
    </w:rPr>
  </w:style>
  <w:style w:type="character" w:styleId="FollowedHyperlink">
    <w:name w:val="FollowedHyperlink"/>
    <w:basedOn w:val="DefaultParagraphFont"/>
    <w:uiPriority w:val="99"/>
    <w:semiHidden/>
    <w:unhideWhenUsed/>
    <w:rsid w:val="00C92191"/>
    <w:rPr>
      <w:color w:val="96607D" w:themeColor="followedHyperlink"/>
      <w:u w:val="single"/>
    </w:rPr>
  </w:style>
  <w:style w:type="paragraph" w:styleId="NormalWeb">
    <w:name w:val="Normal (Web)"/>
    <w:basedOn w:val="Normal"/>
    <w:uiPriority w:val="99"/>
    <w:unhideWhenUsed/>
    <w:rsid w:val="00A61CE4"/>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A61CE4"/>
    <w:rPr>
      <w:b/>
      <w:bCs/>
    </w:rPr>
  </w:style>
  <w:style w:type="character" w:styleId="Emphasis">
    <w:name w:val="Emphasis"/>
    <w:basedOn w:val="DefaultParagraphFont"/>
    <w:uiPriority w:val="20"/>
    <w:qFormat/>
    <w:rsid w:val="00857BC0"/>
    <w:rPr>
      <w:i/>
      <w:iCs/>
    </w:rPr>
  </w:style>
  <w:style w:type="paragraph" w:styleId="Caption">
    <w:name w:val="caption"/>
    <w:basedOn w:val="Normal"/>
    <w:next w:val="Normal"/>
    <w:uiPriority w:val="35"/>
    <w:unhideWhenUsed/>
    <w:qFormat/>
    <w:rsid w:val="00DA37D3"/>
    <w:pPr>
      <w:spacing w:after="200" w:line="240" w:lineRule="auto"/>
    </w:pPr>
    <w:rPr>
      <w:i/>
      <w:iCs/>
      <w:color w:val="0E2841" w:themeColor="text2"/>
      <w:sz w:val="18"/>
      <w:szCs w:val="18"/>
    </w:rPr>
  </w:style>
  <w:style w:type="paragraph" w:styleId="Revision">
    <w:name w:val="Revision"/>
    <w:hidden/>
    <w:uiPriority w:val="99"/>
    <w:semiHidden/>
    <w:rsid w:val="007165B7"/>
    <w:pPr>
      <w:spacing w:after="0" w:line="240" w:lineRule="auto"/>
    </w:pPr>
  </w:style>
  <w:style w:type="character" w:styleId="PlaceholderText">
    <w:name w:val="Placeholder Text"/>
    <w:basedOn w:val="DefaultParagraphFont"/>
    <w:uiPriority w:val="99"/>
    <w:semiHidden/>
    <w:rsid w:val="009A64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06">
      <w:bodyDiv w:val="1"/>
      <w:marLeft w:val="0"/>
      <w:marRight w:val="0"/>
      <w:marTop w:val="0"/>
      <w:marBottom w:val="0"/>
      <w:divBdr>
        <w:top w:val="none" w:sz="0" w:space="0" w:color="auto"/>
        <w:left w:val="none" w:sz="0" w:space="0" w:color="auto"/>
        <w:bottom w:val="none" w:sz="0" w:space="0" w:color="auto"/>
        <w:right w:val="none" w:sz="0" w:space="0" w:color="auto"/>
      </w:divBdr>
    </w:div>
    <w:div w:id="11148053">
      <w:bodyDiv w:val="1"/>
      <w:marLeft w:val="0"/>
      <w:marRight w:val="0"/>
      <w:marTop w:val="0"/>
      <w:marBottom w:val="0"/>
      <w:divBdr>
        <w:top w:val="none" w:sz="0" w:space="0" w:color="auto"/>
        <w:left w:val="none" w:sz="0" w:space="0" w:color="auto"/>
        <w:bottom w:val="none" w:sz="0" w:space="0" w:color="auto"/>
        <w:right w:val="none" w:sz="0" w:space="0" w:color="auto"/>
      </w:divBdr>
    </w:div>
    <w:div w:id="15890683">
      <w:bodyDiv w:val="1"/>
      <w:marLeft w:val="0"/>
      <w:marRight w:val="0"/>
      <w:marTop w:val="0"/>
      <w:marBottom w:val="0"/>
      <w:divBdr>
        <w:top w:val="none" w:sz="0" w:space="0" w:color="auto"/>
        <w:left w:val="none" w:sz="0" w:space="0" w:color="auto"/>
        <w:bottom w:val="none" w:sz="0" w:space="0" w:color="auto"/>
        <w:right w:val="none" w:sz="0" w:space="0" w:color="auto"/>
      </w:divBdr>
    </w:div>
    <w:div w:id="19623619">
      <w:bodyDiv w:val="1"/>
      <w:marLeft w:val="0"/>
      <w:marRight w:val="0"/>
      <w:marTop w:val="0"/>
      <w:marBottom w:val="0"/>
      <w:divBdr>
        <w:top w:val="none" w:sz="0" w:space="0" w:color="auto"/>
        <w:left w:val="none" w:sz="0" w:space="0" w:color="auto"/>
        <w:bottom w:val="none" w:sz="0" w:space="0" w:color="auto"/>
        <w:right w:val="none" w:sz="0" w:space="0" w:color="auto"/>
      </w:divBdr>
    </w:div>
    <w:div w:id="28532828">
      <w:bodyDiv w:val="1"/>
      <w:marLeft w:val="0"/>
      <w:marRight w:val="0"/>
      <w:marTop w:val="0"/>
      <w:marBottom w:val="0"/>
      <w:divBdr>
        <w:top w:val="none" w:sz="0" w:space="0" w:color="auto"/>
        <w:left w:val="none" w:sz="0" w:space="0" w:color="auto"/>
        <w:bottom w:val="none" w:sz="0" w:space="0" w:color="auto"/>
        <w:right w:val="none" w:sz="0" w:space="0" w:color="auto"/>
      </w:divBdr>
    </w:div>
    <w:div w:id="30225144">
      <w:bodyDiv w:val="1"/>
      <w:marLeft w:val="0"/>
      <w:marRight w:val="0"/>
      <w:marTop w:val="0"/>
      <w:marBottom w:val="0"/>
      <w:divBdr>
        <w:top w:val="none" w:sz="0" w:space="0" w:color="auto"/>
        <w:left w:val="none" w:sz="0" w:space="0" w:color="auto"/>
        <w:bottom w:val="none" w:sz="0" w:space="0" w:color="auto"/>
        <w:right w:val="none" w:sz="0" w:space="0" w:color="auto"/>
      </w:divBdr>
    </w:div>
    <w:div w:id="34476987">
      <w:bodyDiv w:val="1"/>
      <w:marLeft w:val="0"/>
      <w:marRight w:val="0"/>
      <w:marTop w:val="0"/>
      <w:marBottom w:val="0"/>
      <w:divBdr>
        <w:top w:val="none" w:sz="0" w:space="0" w:color="auto"/>
        <w:left w:val="none" w:sz="0" w:space="0" w:color="auto"/>
        <w:bottom w:val="none" w:sz="0" w:space="0" w:color="auto"/>
        <w:right w:val="none" w:sz="0" w:space="0" w:color="auto"/>
      </w:divBdr>
    </w:div>
    <w:div w:id="50660322">
      <w:bodyDiv w:val="1"/>
      <w:marLeft w:val="0"/>
      <w:marRight w:val="0"/>
      <w:marTop w:val="0"/>
      <w:marBottom w:val="0"/>
      <w:divBdr>
        <w:top w:val="none" w:sz="0" w:space="0" w:color="auto"/>
        <w:left w:val="none" w:sz="0" w:space="0" w:color="auto"/>
        <w:bottom w:val="none" w:sz="0" w:space="0" w:color="auto"/>
        <w:right w:val="none" w:sz="0" w:space="0" w:color="auto"/>
      </w:divBdr>
    </w:div>
    <w:div w:id="55788159">
      <w:bodyDiv w:val="1"/>
      <w:marLeft w:val="0"/>
      <w:marRight w:val="0"/>
      <w:marTop w:val="0"/>
      <w:marBottom w:val="0"/>
      <w:divBdr>
        <w:top w:val="none" w:sz="0" w:space="0" w:color="auto"/>
        <w:left w:val="none" w:sz="0" w:space="0" w:color="auto"/>
        <w:bottom w:val="none" w:sz="0" w:space="0" w:color="auto"/>
        <w:right w:val="none" w:sz="0" w:space="0" w:color="auto"/>
      </w:divBdr>
    </w:div>
    <w:div w:id="64882057">
      <w:bodyDiv w:val="1"/>
      <w:marLeft w:val="0"/>
      <w:marRight w:val="0"/>
      <w:marTop w:val="0"/>
      <w:marBottom w:val="0"/>
      <w:divBdr>
        <w:top w:val="none" w:sz="0" w:space="0" w:color="auto"/>
        <w:left w:val="none" w:sz="0" w:space="0" w:color="auto"/>
        <w:bottom w:val="none" w:sz="0" w:space="0" w:color="auto"/>
        <w:right w:val="none" w:sz="0" w:space="0" w:color="auto"/>
      </w:divBdr>
    </w:div>
    <w:div w:id="81995322">
      <w:bodyDiv w:val="1"/>
      <w:marLeft w:val="0"/>
      <w:marRight w:val="0"/>
      <w:marTop w:val="0"/>
      <w:marBottom w:val="0"/>
      <w:divBdr>
        <w:top w:val="none" w:sz="0" w:space="0" w:color="auto"/>
        <w:left w:val="none" w:sz="0" w:space="0" w:color="auto"/>
        <w:bottom w:val="none" w:sz="0" w:space="0" w:color="auto"/>
        <w:right w:val="none" w:sz="0" w:space="0" w:color="auto"/>
      </w:divBdr>
    </w:div>
    <w:div w:id="93945019">
      <w:bodyDiv w:val="1"/>
      <w:marLeft w:val="0"/>
      <w:marRight w:val="0"/>
      <w:marTop w:val="0"/>
      <w:marBottom w:val="0"/>
      <w:divBdr>
        <w:top w:val="none" w:sz="0" w:space="0" w:color="auto"/>
        <w:left w:val="none" w:sz="0" w:space="0" w:color="auto"/>
        <w:bottom w:val="none" w:sz="0" w:space="0" w:color="auto"/>
        <w:right w:val="none" w:sz="0" w:space="0" w:color="auto"/>
      </w:divBdr>
    </w:div>
    <w:div w:id="99183630">
      <w:bodyDiv w:val="1"/>
      <w:marLeft w:val="0"/>
      <w:marRight w:val="0"/>
      <w:marTop w:val="0"/>
      <w:marBottom w:val="0"/>
      <w:divBdr>
        <w:top w:val="none" w:sz="0" w:space="0" w:color="auto"/>
        <w:left w:val="none" w:sz="0" w:space="0" w:color="auto"/>
        <w:bottom w:val="none" w:sz="0" w:space="0" w:color="auto"/>
        <w:right w:val="none" w:sz="0" w:space="0" w:color="auto"/>
      </w:divBdr>
    </w:div>
    <w:div w:id="103230074">
      <w:bodyDiv w:val="1"/>
      <w:marLeft w:val="0"/>
      <w:marRight w:val="0"/>
      <w:marTop w:val="0"/>
      <w:marBottom w:val="0"/>
      <w:divBdr>
        <w:top w:val="none" w:sz="0" w:space="0" w:color="auto"/>
        <w:left w:val="none" w:sz="0" w:space="0" w:color="auto"/>
        <w:bottom w:val="none" w:sz="0" w:space="0" w:color="auto"/>
        <w:right w:val="none" w:sz="0" w:space="0" w:color="auto"/>
      </w:divBdr>
    </w:div>
    <w:div w:id="117837650">
      <w:bodyDiv w:val="1"/>
      <w:marLeft w:val="0"/>
      <w:marRight w:val="0"/>
      <w:marTop w:val="0"/>
      <w:marBottom w:val="0"/>
      <w:divBdr>
        <w:top w:val="none" w:sz="0" w:space="0" w:color="auto"/>
        <w:left w:val="none" w:sz="0" w:space="0" w:color="auto"/>
        <w:bottom w:val="none" w:sz="0" w:space="0" w:color="auto"/>
        <w:right w:val="none" w:sz="0" w:space="0" w:color="auto"/>
      </w:divBdr>
    </w:div>
    <w:div w:id="119685949">
      <w:bodyDiv w:val="1"/>
      <w:marLeft w:val="0"/>
      <w:marRight w:val="0"/>
      <w:marTop w:val="0"/>
      <w:marBottom w:val="0"/>
      <w:divBdr>
        <w:top w:val="none" w:sz="0" w:space="0" w:color="auto"/>
        <w:left w:val="none" w:sz="0" w:space="0" w:color="auto"/>
        <w:bottom w:val="none" w:sz="0" w:space="0" w:color="auto"/>
        <w:right w:val="none" w:sz="0" w:space="0" w:color="auto"/>
      </w:divBdr>
    </w:div>
    <w:div w:id="123813455">
      <w:bodyDiv w:val="1"/>
      <w:marLeft w:val="0"/>
      <w:marRight w:val="0"/>
      <w:marTop w:val="0"/>
      <w:marBottom w:val="0"/>
      <w:divBdr>
        <w:top w:val="none" w:sz="0" w:space="0" w:color="auto"/>
        <w:left w:val="none" w:sz="0" w:space="0" w:color="auto"/>
        <w:bottom w:val="none" w:sz="0" w:space="0" w:color="auto"/>
        <w:right w:val="none" w:sz="0" w:space="0" w:color="auto"/>
      </w:divBdr>
    </w:div>
    <w:div w:id="132718179">
      <w:bodyDiv w:val="1"/>
      <w:marLeft w:val="0"/>
      <w:marRight w:val="0"/>
      <w:marTop w:val="0"/>
      <w:marBottom w:val="0"/>
      <w:divBdr>
        <w:top w:val="none" w:sz="0" w:space="0" w:color="auto"/>
        <w:left w:val="none" w:sz="0" w:space="0" w:color="auto"/>
        <w:bottom w:val="none" w:sz="0" w:space="0" w:color="auto"/>
        <w:right w:val="none" w:sz="0" w:space="0" w:color="auto"/>
      </w:divBdr>
    </w:div>
    <w:div w:id="138771339">
      <w:bodyDiv w:val="1"/>
      <w:marLeft w:val="0"/>
      <w:marRight w:val="0"/>
      <w:marTop w:val="0"/>
      <w:marBottom w:val="0"/>
      <w:divBdr>
        <w:top w:val="none" w:sz="0" w:space="0" w:color="auto"/>
        <w:left w:val="none" w:sz="0" w:space="0" w:color="auto"/>
        <w:bottom w:val="none" w:sz="0" w:space="0" w:color="auto"/>
        <w:right w:val="none" w:sz="0" w:space="0" w:color="auto"/>
      </w:divBdr>
    </w:div>
    <w:div w:id="148983388">
      <w:bodyDiv w:val="1"/>
      <w:marLeft w:val="0"/>
      <w:marRight w:val="0"/>
      <w:marTop w:val="0"/>
      <w:marBottom w:val="0"/>
      <w:divBdr>
        <w:top w:val="none" w:sz="0" w:space="0" w:color="auto"/>
        <w:left w:val="none" w:sz="0" w:space="0" w:color="auto"/>
        <w:bottom w:val="none" w:sz="0" w:space="0" w:color="auto"/>
        <w:right w:val="none" w:sz="0" w:space="0" w:color="auto"/>
      </w:divBdr>
    </w:div>
    <w:div w:id="167869328">
      <w:bodyDiv w:val="1"/>
      <w:marLeft w:val="0"/>
      <w:marRight w:val="0"/>
      <w:marTop w:val="0"/>
      <w:marBottom w:val="0"/>
      <w:divBdr>
        <w:top w:val="none" w:sz="0" w:space="0" w:color="auto"/>
        <w:left w:val="none" w:sz="0" w:space="0" w:color="auto"/>
        <w:bottom w:val="none" w:sz="0" w:space="0" w:color="auto"/>
        <w:right w:val="none" w:sz="0" w:space="0" w:color="auto"/>
      </w:divBdr>
    </w:div>
    <w:div w:id="168447522">
      <w:bodyDiv w:val="1"/>
      <w:marLeft w:val="0"/>
      <w:marRight w:val="0"/>
      <w:marTop w:val="0"/>
      <w:marBottom w:val="0"/>
      <w:divBdr>
        <w:top w:val="none" w:sz="0" w:space="0" w:color="auto"/>
        <w:left w:val="none" w:sz="0" w:space="0" w:color="auto"/>
        <w:bottom w:val="none" w:sz="0" w:space="0" w:color="auto"/>
        <w:right w:val="none" w:sz="0" w:space="0" w:color="auto"/>
      </w:divBdr>
    </w:div>
    <w:div w:id="173112794">
      <w:bodyDiv w:val="1"/>
      <w:marLeft w:val="0"/>
      <w:marRight w:val="0"/>
      <w:marTop w:val="0"/>
      <w:marBottom w:val="0"/>
      <w:divBdr>
        <w:top w:val="none" w:sz="0" w:space="0" w:color="auto"/>
        <w:left w:val="none" w:sz="0" w:space="0" w:color="auto"/>
        <w:bottom w:val="none" w:sz="0" w:space="0" w:color="auto"/>
        <w:right w:val="none" w:sz="0" w:space="0" w:color="auto"/>
      </w:divBdr>
    </w:div>
    <w:div w:id="183128545">
      <w:bodyDiv w:val="1"/>
      <w:marLeft w:val="0"/>
      <w:marRight w:val="0"/>
      <w:marTop w:val="0"/>
      <w:marBottom w:val="0"/>
      <w:divBdr>
        <w:top w:val="none" w:sz="0" w:space="0" w:color="auto"/>
        <w:left w:val="none" w:sz="0" w:space="0" w:color="auto"/>
        <w:bottom w:val="none" w:sz="0" w:space="0" w:color="auto"/>
        <w:right w:val="none" w:sz="0" w:space="0" w:color="auto"/>
      </w:divBdr>
    </w:div>
    <w:div w:id="186867564">
      <w:bodyDiv w:val="1"/>
      <w:marLeft w:val="0"/>
      <w:marRight w:val="0"/>
      <w:marTop w:val="0"/>
      <w:marBottom w:val="0"/>
      <w:divBdr>
        <w:top w:val="none" w:sz="0" w:space="0" w:color="auto"/>
        <w:left w:val="none" w:sz="0" w:space="0" w:color="auto"/>
        <w:bottom w:val="none" w:sz="0" w:space="0" w:color="auto"/>
        <w:right w:val="none" w:sz="0" w:space="0" w:color="auto"/>
      </w:divBdr>
    </w:div>
    <w:div w:id="197472836">
      <w:bodyDiv w:val="1"/>
      <w:marLeft w:val="0"/>
      <w:marRight w:val="0"/>
      <w:marTop w:val="0"/>
      <w:marBottom w:val="0"/>
      <w:divBdr>
        <w:top w:val="none" w:sz="0" w:space="0" w:color="auto"/>
        <w:left w:val="none" w:sz="0" w:space="0" w:color="auto"/>
        <w:bottom w:val="none" w:sz="0" w:space="0" w:color="auto"/>
        <w:right w:val="none" w:sz="0" w:space="0" w:color="auto"/>
      </w:divBdr>
    </w:div>
    <w:div w:id="210386025">
      <w:bodyDiv w:val="1"/>
      <w:marLeft w:val="0"/>
      <w:marRight w:val="0"/>
      <w:marTop w:val="0"/>
      <w:marBottom w:val="0"/>
      <w:divBdr>
        <w:top w:val="none" w:sz="0" w:space="0" w:color="auto"/>
        <w:left w:val="none" w:sz="0" w:space="0" w:color="auto"/>
        <w:bottom w:val="none" w:sz="0" w:space="0" w:color="auto"/>
        <w:right w:val="none" w:sz="0" w:space="0" w:color="auto"/>
      </w:divBdr>
    </w:div>
    <w:div w:id="215943363">
      <w:bodyDiv w:val="1"/>
      <w:marLeft w:val="0"/>
      <w:marRight w:val="0"/>
      <w:marTop w:val="0"/>
      <w:marBottom w:val="0"/>
      <w:divBdr>
        <w:top w:val="none" w:sz="0" w:space="0" w:color="auto"/>
        <w:left w:val="none" w:sz="0" w:space="0" w:color="auto"/>
        <w:bottom w:val="none" w:sz="0" w:space="0" w:color="auto"/>
        <w:right w:val="none" w:sz="0" w:space="0" w:color="auto"/>
      </w:divBdr>
    </w:div>
    <w:div w:id="216673263">
      <w:bodyDiv w:val="1"/>
      <w:marLeft w:val="0"/>
      <w:marRight w:val="0"/>
      <w:marTop w:val="0"/>
      <w:marBottom w:val="0"/>
      <w:divBdr>
        <w:top w:val="none" w:sz="0" w:space="0" w:color="auto"/>
        <w:left w:val="none" w:sz="0" w:space="0" w:color="auto"/>
        <w:bottom w:val="none" w:sz="0" w:space="0" w:color="auto"/>
        <w:right w:val="none" w:sz="0" w:space="0" w:color="auto"/>
      </w:divBdr>
    </w:div>
    <w:div w:id="219361815">
      <w:bodyDiv w:val="1"/>
      <w:marLeft w:val="0"/>
      <w:marRight w:val="0"/>
      <w:marTop w:val="0"/>
      <w:marBottom w:val="0"/>
      <w:divBdr>
        <w:top w:val="none" w:sz="0" w:space="0" w:color="auto"/>
        <w:left w:val="none" w:sz="0" w:space="0" w:color="auto"/>
        <w:bottom w:val="none" w:sz="0" w:space="0" w:color="auto"/>
        <w:right w:val="none" w:sz="0" w:space="0" w:color="auto"/>
      </w:divBdr>
    </w:div>
    <w:div w:id="224418676">
      <w:bodyDiv w:val="1"/>
      <w:marLeft w:val="0"/>
      <w:marRight w:val="0"/>
      <w:marTop w:val="0"/>
      <w:marBottom w:val="0"/>
      <w:divBdr>
        <w:top w:val="none" w:sz="0" w:space="0" w:color="auto"/>
        <w:left w:val="none" w:sz="0" w:space="0" w:color="auto"/>
        <w:bottom w:val="none" w:sz="0" w:space="0" w:color="auto"/>
        <w:right w:val="none" w:sz="0" w:space="0" w:color="auto"/>
      </w:divBdr>
    </w:div>
    <w:div w:id="225995215">
      <w:bodyDiv w:val="1"/>
      <w:marLeft w:val="0"/>
      <w:marRight w:val="0"/>
      <w:marTop w:val="0"/>
      <w:marBottom w:val="0"/>
      <w:divBdr>
        <w:top w:val="none" w:sz="0" w:space="0" w:color="auto"/>
        <w:left w:val="none" w:sz="0" w:space="0" w:color="auto"/>
        <w:bottom w:val="none" w:sz="0" w:space="0" w:color="auto"/>
        <w:right w:val="none" w:sz="0" w:space="0" w:color="auto"/>
      </w:divBdr>
    </w:div>
    <w:div w:id="226766239">
      <w:bodyDiv w:val="1"/>
      <w:marLeft w:val="0"/>
      <w:marRight w:val="0"/>
      <w:marTop w:val="0"/>
      <w:marBottom w:val="0"/>
      <w:divBdr>
        <w:top w:val="none" w:sz="0" w:space="0" w:color="auto"/>
        <w:left w:val="none" w:sz="0" w:space="0" w:color="auto"/>
        <w:bottom w:val="none" w:sz="0" w:space="0" w:color="auto"/>
        <w:right w:val="none" w:sz="0" w:space="0" w:color="auto"/>
      </w:divBdr>
    </w:div>
    <w:div w:id="228228574">
      <w:bodyDiv w:val="1"/>
      <w:marLeft w:val="0"/>
      <w:marRight w:val="0"/>
      <w:marTop w:val="0"/>
      <w:marBottom w:val="0"/>
      <w:divBdr>
        <w:top w:val="none" w:sz="0" w:space="0" w:color="auto"/>
        <w:left w:val="none" w:sz="0" w:space="0" w:color="auto"/>
        <w:bottom w:val="none" w:sz="0" w:space="0" w:color="auto"/>
        <w:right w:val="none" w:sz="0" w:space="0" w:color="auto"/>
      </w:divBdr>
    </w:div>
    <w:div w:id="228540363">
      <w:bodyDiv w:val="1"/>
      <w:marLeft w:val="0"/>
      <w:marRight w:val="0"/>
      <w:marTop w:val="0"/>
      <w:marBottom w:val="0"/>
      <w:divBdr>
        <w:top w:val="none" w:sz="0" w:space="0" w:color="auto"/>
        <w:left w:val="none" w:sz="0" w:space="0" w:color="auto"/>
        <w:bottom w:val="none" w:sz="0" w:space="0" w:color="auto"/>
        <w:right w:val="none" w:sz="0" w:space="0" w:color="auto"/>
      </w:divBdr>
    </w:div>
    <w:div w:id="235551098">
      <w:bodyDiv w:val="1"/>
      <w:marLeft w:val="0"/>
      <w:marRight w:val="0"/>
      <w:marTop w:val="0"/>
      <w:marBottom w:val="0"/>
      <w:divBdr>
        <w:top w:val="none" w:sz="0" w:space="0" w:color="auto"/>
        <w:left w:val="none" w:sz="0" w:space="0" w:color="auto"/>
        <w:bottom w:val="none" w:sz="0" w:space="0" w:color="auto"/>
        <w:right w:val="none" w:sz="0" w:space="0" w:color="auto"/>
      </w:divBdr>
    </w:div>
    <w:div w:id="250553040">
      <w:bodyDiv w:val="1"/>
      <w:marLeft w:val="0"/>
      <w:marRight w:val="0"/>
      <w:marTop w:val="0"/>
      <w:marBottom w:val="0"/>
      <w:divBdr>
        <w:top w:val="none" w:sz="0" w:space="0" w:color="auto"/>
        <w:left w:val="none" w:sz="0" w:space="0" w:color="auto"/>
        <w:bottom w:val="none" w:sz="0" w:space="0" w:color="auto"/>
        <w:right w:val="none" w:sz="0" w:space="0" w:color="auto"/>
      </w:divBdr>
    </w:div>
    <w:div w:id="256140306">
      <w:bodyDiv w:val="1"/>
      <w:marLeft w:val="0"/>
      <w:marRight w:val="0"/>
      <w:marTop w:val="0"/>
      <w:marBottom w:val="0"/>
      <w:divBdr>
        <w:top w:val="none" w:sz="0" w:space="0" w:color="auto"/>
        <w:left w:val="none" w:sz="0" w:space="0" w:color="auto"/>
        <w:bottom w:val="none" w:sz="0" w:space="0" w:color="auto"/>
        <w:right w:val="none" w:sz="0" w:space="0" w:color="auto"/>
      </w:divBdr>
    </w:div>
    <w:div w:id="258830697">
      <w:bodyDiv w:val="1"/>
      <w:marLeft w:val="0"/>
      <w:marRight w:val="0"/>
      <w:marTop w:val="0"/>
      <w:marBottom w:val="0"/>
      <w:divBdr>
        <w:top w:val="none" w:sz="0" w:space="0" w:color="auto"/>
        <w:left w:val="none" w:sz="0" w:space="0" w:color="auto"/>
        <w:bottom w:val="none" w:sz="0" w:space="0" w:color="auto"/>
        <w:right w:val="none" w:sz="0" w:space="0" w:color="auto"/>
      </w:divBdr>
    </w:div>
    <w:div w:id="262686086">
      <w:bodyDiv w:val="1"/>
      <w:marLeft w:val="0"/>
      <w:marRight w:val="0"/>
      <w:marTop w:val="0"/>
      <w:marBottom w:val="0"/>
      <w:divBdr>
        <w:top w:val="none" w:sz="0" w:space="0" w:color="auto"/>
        <w:left w:val="none" w:sz="0" w:space="0" w:color="auto"/>
        <w:bottom w:val="none" w:sz="0" w:space="0" w:color="auto"/>
        <w:right w:val="none" w:sz="0" w:space="0" w:color="auto"/>
      </w:divBdr>
    </w:div>
    <w:div w:id="263459316">
      <w:bodyDiv w:val="1"/>
      <w:marLeft w:val="0"/>
      <w:marRight w:val="0"/>
      <w:marTop w:val="0"/>
      <w:marBottom w:val="0"/>
      <w:divBdr>
        <w:top w:val="none" w:sz="0" w:space="0" w:color="auto"/>
        <w:left w:val="none" w:sz="0" w:space="0" w:color="auto"/>
        <w:bottom w:val="none" w:sz="0" w:space="0" w:color="auto"/>
        <w:right w:val="none" w:sz="0" w:space="0" w:color="auto"/>
      </w:divBdr>
    </w:div>
    <w:div w:id="281619161">
      <w:bodyDiv w:val="1"/>
      <w:marLeft w:val="0"/>
      <w:marRight w:val="0"/>
      <w:marTop w:val="0"/>
      <w:marBottom w:val="0"/>
      <w:divBdr>
        <w:top w:val="none" w:sz="0" w:space="0" w:color="auto"/>
        <w:left w:val="none" w:sz="0" w:space="0" w:color="auto"/>
        <w:bottom w:val="none" w:sz="0" w:space="0" w:color="auto"/>
        <w:right w:val="none" w:sz="0" w:space="0" w:color="auto"/>
      </w:divBdr>
    </w:div>
    <w:div w:id="286739103">
      <w:bodyDiv w:val="1"/>
      <w:marLeft w:val="0"/>
      <w:marRight w:val="0"/>
      <w:marTop w:val="0"/>
      <w:marBottom w:val="0"/>
      <w:divBdr>
        <w:top w:val="none" w:sz="0" w:space="0" w:color="auto"/>
        <w:left w:val="none" w:sz="0" w:space="0" w:color="auto"/>
        <w:bottom w:val="none" w:sz="0" w:space="0" w:color="auto"/>
        <w:right w:val="none" w:sz="0" w:space="0" w:color="auto"/>
      </w:divBdr>
    </w:div>
    <w:div w:id="306397652">
      <w:bodyDiv w:val="1"/>
      <w:marLeft w:val="0"/>
      <w:marRight w:val="0"/>
      <w:marTop w:val="0"/>
      <w:marBottom w:val="0"/>
      <w:divBdr>
        <w:top w:val="none" w:sz="0" w:space="0" w:color="auto"/>
        <w:left w:val="none" w:sz="0" w:space="0" w:color="auto"/>
        <w:bottom w:val="none" w:sz="0" w:space="0" w:color="auto"/>
        <w:right w:val="none" w:sz="0" w:space="0" w:color="auto"/>
      </w:divBdr>
    </w:div>
    <w:div w:id="306858221">
      <w:bodyDiv w:val="1"/>
      <w:marLeft w:val="0"/>
      <w:marRight w:val="0"/>
      <w:marTop w:val="0"/>
      <w:marBottom w:val="0"/>
      <w:divBdr>
        <w:top w:val="none" w:sz="0" w:space="0" w:color="auto"/>
        <w:left w:val="none" w:sz="0" w:space="0" w:color="auto"/>
        <w:bottom w:val="none" w:sz="0" w:space="0" w:color="auto"/>
        <w:right w:val="none" w:sz="0" w:space="0" w:color="auto"/>
      </w:divBdr>
    </w:div>
    <w:div w:id="328824356">
      <w:bodyDiv w:val="1"/>
      <w:marLeft w:val="0"/>
      <w:marRight w:val="0"/>
      <w:marTop w:val="0"/>
      <w:marBottom w:val="0"/>
      <w:divBdr>
        <w:top w:val="none" w:sz="0" w:space="0" w:color="auto"/>
        <w:left w:val="none" w:sz="0" w:space="0" w:color="auto"/>
        <w:bottom w:val="none" w:sz="0" w:space="0" w:color="auto"/>
        <w:right w:val="none" w:sz="0" w:space="0" w:color="auto"/>
      </w:divBdr>
    </w:div>
    <w:div w:id="331496080">
      <w:bodyDiv w:val="1"/>
      <w:marLeft w:val="0"/>
      <w:marRight w:val="0"/>
      <w:marTop w:val="0"/>
      <w:marBottom w:val="0"/>
      <w:divBdr>
        <w:top w:val="none" w:sz="0" w:space="0" w:color="auto"/>
        <w:left w:val="none" w:sz="0" w:space="0" w:color="auto"/>
        <w:bottom w:val="none" w:sz="0" w:space="0" w:color="auto"/>
        <w:right w:val="none" w:sz="0" w:space="0" w:color="auto"/>
      </w:divBdr>
    </w:div>
    <w:div w:id="334384073">
      <w:bodyDiv w:val="1"/>
      <w:marLeft w:val="0"/>
      <w:marRight w:val="0"/>
      <w:marTop w:val="0"/>
      <w:marBottom w:val="0"/>
      <w:divBdr>
        <w:top w:val="none" w:sz="0" w:space="0" w:color="auto"/>
        <w:left w:val="none" w:sz="0" w:space="0" w:color="auto"/>
        <w:bottom w:val="none" w:sz="0" w:space="0" w:color="auto"/>
        <w:right w:val="none" w:sz="0" w:space="0" w:color="auto"/>
      </w:divBdr>
    </w:div>
    <w:div w:id="346374297">
      <w:bodyDiv w:val="1"/>
      <w:marLeft w:val="0"/>
      <w:marRight w:val="0"/>
      <w:marTop w:val="0"/>
      <w:marBottom w:val="0"/>
      <w:divBdr>
        <w:top w:val="none" w:sz="0" w:space="0" w:color="auto"/>
        <w:left w:val="none" w:sz="0" w:space="0" w:color="auto"/>
        <w:bottom w:val="none" w:sz="0" w:space="0" w:color="auto"/>
        <w:right w:val="none" w:sz="0" w:space="0" w:color="auto"/>
      </w:divBdr>
    </w:div>
    <w:div w:id="348877744">
      <w:bodyDiv w:val="1"/>
      <w:marLeft w:val="0"/>
      <w:marRight w:val="0"/>
      <w:marTop w:val="0"/>
      <w:marBottom w:val="0"/>
      <w:divBdr>
        <w:top w:val="none" w:sz="0" w:space="0" w:color="auto"/>
        <w:left w:val="none" w:sz="0" w:space="0" w:color="auto"/>
        <w:bottom w:val="none" w:sz="0" w:space="0" w:color="auto"/>
        <w:right w:val="none" w:sz="0" w:space="0" w:color="auto"/>
      </w:divBdr>
    </w:div>
    <w:div w:id="376050808">
      <w:bodyDiv w:val="1"/>
      <w:marLeft w:val="0"/>
      <w:marRight w:val="0"/>
      <w:marTop w:val="0"/>
      <w:marBottom w:val="0"/>
      <w:divBdr>
        <w:top w:val="none" w:sz="0" w:space="0" w:color="auto"/>
        <w:left w:val="none" w:sz="0" w:space="0" w:color="auto"/>
        <w:bottom w:val="none" w:sz="0" w:space="0" w:color="auto"/>
        <w:right w:val="none" w:sz="0" w:space="0" w:color="auto"/>
      </w:divBdr>
    </w:div>
    <w:div w:id="378554312">
      <w:bodyDiv w:val="1"/>
      <w:marLeft w:val="0"/>
      <w:marRight w:val="0"/>
      <w:marTop w:val="0"/>
      <w:marBottom w:val="0"/>
      <w:divBdr>
        <w:top w:val="none" w:sz="0" w:space="0" w:color="auto"/>
        <w:left w:val="none" w:sz="0" w:space="0" w:color="auto"/>
        <w:bottom w:val="none" w:sz="0" w:space="0" w:color="auto"/>
        <w:right w:val="none" w:sz="0" w:space="0" w:color="auto"/>
      </w:divBdr>
    </w:div>
    <w:div w:id="385301055">
      <w:bodyDiv w:val="1"/>
      <w:marLeft w:val="0"/>
      <w:marRight w:val="0"/>
      <w:marTop w:val="0"/>
      <w:marBottom w:val="0"/>
      <w:divBdr>
        <w:top w:val="none" w:sz="0" w:space="0" w:color="auto"/>
        <w:left w:val="none" w:sz="0" w:space="0" w:color="auto"/>
        <w:bottom w:val="none" w:sz="0" w:space="0" w:color="auto"/>
        <w:right w:val="none" w:sz="0" w:space="0" w:color="auto"/>
      </w:divBdr>
    </w:div>
    <w:div w:id="390275857">
      <w:bodyDiv w:val="1"/>
      <w:marLeft w:val="0"/>
      <w:marRight w:val="0"/>
      <w:marTop w:val="0"/>
      <w:marBottom w:val="0"/>
      <w:divBdr>
        <w:top w:val="none" w:sz="0" w:space="0" w:color="auto"/>
        <w:left w:val="none" w:sz="0" w:space="0" w:color="auto"/>
        <w:bottom w:val="none" w:sz="0" w:space="0" w:color="auto"/>
        <w:right w:val="none" w:sz="0" w:space="0" w:color="auto"/>
      </w:divBdr>
    </w:div>
    <w:div w:id="392119309">
      <w:bodyDiv w:val="1"/>
      <w:marLeft w:val="0"/>
      <w:marRight w:val="0"/>
      <w:marTop w:val="0"/>
      <w:marBottom w:val="0"/>
      <w:divBdr>
        <w:top w:val="none" w:sz="0" w:space="0" w:color="auto"/>
        <w:left w:val="none" w:sz="0" w:space="0" w:color="auto"/>
        <w:bottom w:val="none" w:sz="0" w:space="0" w:color="auto"/>
        <w:right w:val="none" w:sz="0" w:space="0" w:color="auto"/>
      </w:divBdr>
    </w:div>
    <w:div w:id="403795080">
      <w:bodyDiv w:val="1"/>
      <w:marLeft w:val="0"/>
      <w:marRight w:val="0"/>
      <w:marTop w:val="0"/>
      <w:marBottom w:val="0"/>
      <w:divBdr>
        <w:top w:val="none" w:sz="0" w:space="0" w:color="auto"/>
        <w:left w:val="none" w:sz="0" w:space="0" w:color="auto"/>
        <w:bottom w:val="none" w:sz="0" w:space="0" w:color="auto"/>
        <w:right w:val="none" w:sz="0" w:space="0" w:color="auto"/>
      </w:divBdr>
    </w:div>
    <w:div w:id="426967103">
      <w:bodyDiv w:val="1"/>
      <w:marLeft w:val="0"/>
      <w:marRight w:val="0"/>
      <w:marTop w:val="0"/>
      <w:marBottom w:val="0"/>
      <w:divBdr>
        <w:top w:val="none" w:sz="0" w:space="0" w:color="auto"/>
        <w:left w:val="none" w:sz="0" w:space="0" w:color="auto"/>
        <w:bottom w:val="none" w:sz="0" w:space="0" w:color="auto"/>
        <w:right w:val="none" w:sz="0" w:space="0" w:color="auto"/>
      </w:divBdr>
    </w:div>
    <w:div w:id="429931198">
      <w:bodyDiv w:val="1"/>
      <w:marLeft w:val="0"/>
      <w:marRight w:val="0"/>
      <w:marTop w:val="0"/>
      <w:marBottom w:val="0"/>
      <w:divBdr>
        <w:top w:val="none" w:sz="0" w:space="0" w:color="auto"/>
        <w:left w:val="none" w:sz="0" w:space="0" w:color="auto"/>
        <w:bottom w:val="none" w:sz="0" w:space="0" w:color="auto"/>
        <w:right w:val="none" w:sz="0" w:space="0" w:color="auto"/>
      </w:divBdr>
    </w:div>
    <w:div w:id="431781695">
      <w:bodyDiv w:val="1"/>
      <w:marLeft w:val="0"/>
      <w:marRight w:val="0"/>
      <w:marTop w:val="0"/>
      <w:marBottom w:val="0"/>
      <w:divBdr>
        <w:top w:val="none" w:sz="0" w:space="0" w:color="auto"/>
        <w:left w:val="none" w:sz="0" w:space="0" w:color="auto"/>
        <w:bottom w:val="none" w:sz="0" w:space="0" w:color="auto"/>
        <w:right w:val="none" w:sz="0" w:space="0" w:color="auto"/>
      </w:divBdr>
    </w:div>
    <w:div w:id="433206035">
      <w:bodyDiv w:val="1"/>
      <w:marLeft w:val="0"/>
      <w:marRight w:val="0"/>
      <w:marTop w:val="0"/>
      <w:marBottom w:val="0"/>
      <w:divBdr>
        <w:top w:val="none" w:sz="0" w:space="0" w:color="auto"/>
        <w:left w:val="none" w:sz="0" w:space="0" w:color="auto"/>
        <w:bottom w:val="none" w:sz="0" w:space="0" w:color="auto"/>
        <w:right w:val="none" w:sz="0" w:space="0" w:color="auto"/>
      </w:divBdr>
    </w:div>
    <w:div w:id="438917695">
      <w:bodyDiv w:val="1"/>
      <w:marLeft w:val="0"/>
      <w:marRight w:val="0"/>
      <w:marTop w:val="0"/>
      <w:marBottom w:val="0"/>
      <w:divBdr>
        <w:top w:val="none" w:sz="0" w:space="0" w:color="auto"/>
        <w:left w:val="none" w:sz="0" w:space="0" w:color="auto"/>
        <w:bottom w:val="none" w:sz="0" w:space="0" w:color="auto"/>
        <w:right w:val="none" w:sz="0" w:space="0" w:color="auto"/>
      </w:divBdr>
    </w:div>
    <w:div w:id="439375307">
      <w:bodyDiv w:val="1"/>
      <w:marLeft w:val="0"/>
      <w:marRight w:val="0"/>
      <w:marTop w:val="0"/>
      <w:marBottom w:val="0"/>
      <w:divBdr>
        <w:top w:val="none" w:sz="0" w:space="0" w:color="auto"/>
        <w:left w:val="none" w:sz="0" w:space="0" w:color="auto"/>
        <w:bottom w:val="none" w:sz="0" w:space="0" w:color="auto"/>
        <w:right w:val="none" w:sz="0" w:space="0" w:color="auto"/>
      </w:divBdr>
    </w:div>
    <w:div w:id="453791459">
      <w:bodyDiv w:val="1"/>
      <w:marLeft w:val="0"/>
      <w:marRight w:val="0"/>
      <w:marTop w:val="0"/>
      <w:marBottom w:val="0"/>
      <w:divBdr>
        <w:top w:val="none" w:sz="0" w:space="0" w:color="auto"/>
        <w:left w:val="none" w:sz="0" w:space="0" w:color="auto"/>
        <w:bottom w:val="none" w:sz="0" w:space="0" w:color="auto"/>
        <w:right w:val="none" w:sz="0" w:space="0" w:color="auto"/>
      </w:divBdr>
    </w:div>
    <w:div w:id="454979956">
      <w:bodyDiv w:val="1"/>
      <w:marLeft w:val="0"/>
      <w:marRight w:val="0"/>
      <w:marTop w:val="0"/>
      <w:marBottom w:val="0"/>
      <w:divBdr>
        <w:top w:val="none" w:sz="0" w:space="0" w:color="auto"/>
        <w:left w:val="none" w:sz="0" w:space="0" w:color="auto"/>
        <w:bottom w:val="none" w:sz="0" w:space="0" w:color="auto"/>
        <w:right w:val="none" w:sz="0" w:space="0" w:color="auto"/>
      </w:divBdr>
    </w:div>
    <w:div w:id="467213236">
      <w:bodyDiv w:val="1"/>
      <w:marLeft w:val="0"/>
      <w:marRight w:val="0"/>
      <w:marTop w:val="0"/>
      <w:marBottom w:val="0"/>
      <w:divBdr>
        <w:top w:val="none" w:sz="0" w:space="0" w:color="auto"/>
        <w:left w:val="none" w:sz="0" w:space="0" w:color="auto"/>
        <w:bottom w:val="none" w:sz="0" w:space="0" w:color="auto"/>
        <w:right w:val="none" w:sz="0" w:space="0" w:color="auto"/>
      </w:divBdr>
    </w:div>
    <w:div w:id="486435855">
      <w:bodyDiv w:val="1"/>
      <w:marLeft w:val="0"/>
      <w:marRight w:val="0"/>
      <w:marTop w:val="0"/>
      <w:marBottom w:val="0"/>
      <w:divBdr>
        <w:top w:val="none" w:sz="0" w:space="0" w:color="auto"/>
        <w:left w:val="none" w:sz="0" w:space="0" w:color="auto"/>
        <w:bottom w:val="none" w:sz="0" w:space="0" w:color="auto"/>
        <w:right w:val="none" w:sz="0" w:space="0" w:color="auto"/>
      </w:divBdr>
    </w:div>
    <w:div w:id="504445377">
      <w:bodyDiv w:val="1"/>
      <w:marLeft w:val="0"/>
      <w:marRight w:val="0"/>
      <w:marTop w:val="0"/>
      <w:marBottom w:val="0"/>
      <w:divBdr>
        <w:top w:val="none" w:sz="0" w:space="0" w:color="auto"/>
        <w:left w:val="none" w:sz="0" w:space="0" w:color="auto"/>
        <w:bottom w:val="none" w:sz="0" w:space="0" w:color="auto"/>
        <w:right w:val="none" w:sz="0" w:space="0" w:color="auto"/>
      </w:divBdr>
    </w:div>
    <w:div w:id="510294358">
      <w:bodyDiv w:val="1"/>
      <w:marLeft w:val="0"/>
      <w:marRight w:val="0"/>
      <w:marTop w:val="0"/>
      <w:marBottom w:val="0"/>
      <w:divBdr>
        <w:top w:val="none" w:sz="0" w:space="0" w:color="auto"/>
        <w:left w:val="none" w:sz="0" w:space="0" w:color="auto"/>
        <w:bottom w:val="none" w:sz="0" w:space="0" w:color="auto"/>
        <w:right w:val="none" w:sz="0" w:space="0" w:color="auto"/>
      </w:divBdr>
    </w:div>
    <w:div w:id="518861439">
      <w:bodyDiv w:val="1"/>
      <w:marLeft w:val="0"/>
      <w:marRight w:val="0"/>
      <w:marTop w:val="0"/>
      <w:marBottom w:val="0"/>
      <w:divBdr>
        <w:top w:val="none" w:sz="0" w:space="0" w:color="auto"/>
        <w:left w:val="none" w:sz="0" w:space="0" w:color="auto"/>
        <w:bottom w:val="none" w:sz="0" w:space="0" w:color="auto"/>
        <w:right w:val="none" w:sz="0" w:space="0" w:color="auto"/>
      </w:divBdr>
    </w:div>
    <w:div w:id="523833312">
      <w:bodyDiv w:val="1"/>
      <w:marLeft w:val="0"/>
      <w:marRight w:val="0"/>
      <w:marTop w:val="0"/>
      <w:marBottom w:val="0"/>
      <w:divBdr>
        <w:top w:val="none" w:sz="0" w:space="0" w:color="auto"/>
        <w:left w:val="none" w:sz="0" w:space="0" w:color="auto"/>
        <w:bottom w:val="none" w:sz="0" w:space="0" w:color="auto"/>
        <w:right w:val="none" w:sz="0" w:space="0" w:color="auto"/>
      </w:divBdr>
    </w:div>
    <w:div w:id="530995109">
      <w:bodyDiv w:val="1"/>
      <w:marLeft w:val="0"/>
      <w:marRight w:val="0"/>
      <w:marTop w:val="0"/>
      <w:marBottom w:val="0"/>
      <w:divBdr>
        <w:top w:val="none" w:sz="0" w:space="0" w:color="auto"/>
        <w:left w:val="none" w:sz="0" w:space="0" w:color="auto"/>
        <w:bottom w:val="none" w:sz="0" w:space="0" w:color="auto"/>
        <w:right w:val="none" w:sz="0" w:space="0" w:color="auto"/>
      </w:divBdr>
    </w:div>
    <w:div w:id="531307727">
      <w:bodyDiv w:val="1"/>
      <w:marLeft w:val="0"/>
      <w:marRight w:val="0"/>
      <w:marTop w:val="0"/>
      <w:marBottom w:val="0"/>
      <w:divBdr>
        <w:top w:val="none" w:sz="0" w:space="0" w:color="auto"/>
        <w:left w:val="none" w:sz="0" w:space="0" w:color="auto"/>
        <w:bottom w:val="none" w:sz="0" w:space="0" w:color="auto"/>
        <w:right w:val="none" w:sz="0" w:space="0" w:color="auto"/>
      </w:divBdr>
    </w:div>
    <w:div w:id="535775049">
      <w:bodyDiv w:val="1"/>
      <w:marLeft w:val="0"/>
      <w:marRight w:val="0"/>
      <w:marTop w:val="0"/>
      <w:marBottom w:val="0"/>
      <w:divBdr>
        <w:top w:val="none" w:sz="0" w:space="0" w:color="auto"/>
        <w:left w:val="none" w:sz="0" w:space="0" w:color="auto"/>
        <w:bottom w:val="none" w:sz="0" w:space="0" w:color="auto"/>
        <w:right w:val="none" w:sz="0" w:space="0" w:color="auto"/>
      </w:divBdr>
    </w:div>
    <w:div w:id="549415793">
      <w:bodyDiv w:val="1"/>
      <w:marLeft w:val="0"/>
      <w:marRight w:val="0"/>
      <w:marTop w:val="0"/>
      <w:marBottom w:val="0"/>
      <w:divBdr>
        <w:top w:val="none" w:sz="0" w:space="0" w:color="auto"/>
        <w:left w:val="none" w:sz="0" w:space="0" w:color="auto"/>
        <w:bottom w:val="none" w:sz="0" w:space="0" w:color="auto"/>
        <w:right w:val="none" w:sz="0" w:space="0" w:color="auto"/>
      </w:divBdr>
    </w:div>
    <w:div w:id="560020594">
      <w:bodyDiv w:val="1"/>
      <w:marLeft w:val="0"/>
      <w:marRight w:val="0"/>
      <w:marTop w:val="0"/>
      <w:marBottom w:val="0"/>
      <w:divBdr>
        <w:top w:val="none" w:sz="0" w:space="0" w:color="auto"/>
        <w:left w:val="none" w:sz="0" w:space="0" w:color="auto"/>
        <w:bottom w:val="none" w:sz="0" w:space="0" w:color="auto"/>
        <w:right w:val="none" w:sz="0" w:space="0" w:color="auto"/>
      </w:divBdr>
    </w:div>
    <w:div w:id="568225107">
      <w:bodyDiv w:val="1"/>
      <w:marLeft w:val="0"/>
      <w:marRight w:val="0"/>
      <w:marTop w:val="0"/>
      <w:marBottom w:val="0"/>
      <w:divBdr>
        <w:top w:val="none" w:sz="0" w:space="0" w:color="auto"/>
        <w:left w:val="none" w:sz="0" w:space="0" w:color="auto"/>
        <w:bottom w:val="none" w:sz="0" w:space="0" w:color="auto"/>
        <w:right w:val="none" w:sz="0" w:space="0" w:color="auto"/>
      </w:divBdr>
    </w:div>
    <w:div w:id="573004945">
      <w:bodyDiv w:val="1"/>
      <w:marLeft w:val="0"/>
      <w:marRight w:val="0"/>
      <w:marTop w:val="0"/>
      <w:marBottom w:val="0"/>
      <w:divBdr>
        <w:top w:val="none" w:sz="0" w:space="0" w:color="auto"/>
        <w:left w:val="none" w:sz="0" w:space="0" w:color="auto"/>
        <w:bottom w:val="none" w:sz="0" w:space="0" w:color="auto"/>
        <w:right w:val="none" w:sz="0" w:space="0" w:color="auto"/>
      </w:divBdr>
    </w:div>
    <w:div w:id="580067083">
      <w:bodyDiv w:val="1"/>
      <w:marLeft w:val="0"/>
      <w:marRight w:val="0"/>
      <w:marTop w:val="0"/>
      <w:marBottom w:val="0"/>
      <w:divBdr>
        <w:top w:val="none" w:sz="0" w:space="0" w:color="auto"/>
        <w:left w:val="none" w:sz="0" w:space="0" w:color="auto"/>
        <w:bottom w:val="none" w:sz="0" w:space="0" w:color="auto"/>
        <w:right w:val="none" w:sz="0" w:space="0" w:color="auto"/>
      </w:divBdr>
    </w:div>
    <w:div w:id="587663559">
      <w:bodyDiv w:val="1"/>
      <w:marLeft w:val="0"/>
      <w:marRight w:val="0"/>
      <w:marTop w:val="0"/>
      <w:marBottom w:val="0"/>
      <w:divBdr>
        <w:top w:val="none" w:sz="0" w:space="0" w:color="auto"/>
        <w:left w:val="none" w:sz="0" w:space="0" w:color="auto"/>
        <w:bottom w:val="none" w:sz="0" w:space="0" w:color="auto"/>
        <w:right w:val="none" w:sz="0" w:space="0" w:color="auto"/>
      </w:divBdr>
    </w:div>
    <w:div w:id="591859736">
      <w:bodyDiv w:val="1"/>
      <w:marLeft w:val="0"/>
      <w:marRight w:val="0"/>
      <w:marTop w:val="0"/>
      <w:marBottom w:val="0"/>
      <w:divBdr>
        <w:top w:val="none" w:sz="0" w:space="0" w:color="auto"/>
        <w:left w:val="none" w:sz="0" w:space="0" w:color="auto"/>
        <w:bottom w:val="none" w:sz="0" w:space="0" w:color="auto"/>
        <w:right w:val="none" w:sz="0" w:space="0" w:color="auto"/>
      </w:divBdr>
    </w:div>
    <w:div w:id="607158132">
      <w:bodyDiv w:val="1"/>
      <w:marLeft w:val="0"/>
      <w:marRight w:val="0"/>
      <w:marTop w:val="0"/>
      <w:marBottom w:val="0"/>
      <w:divBdr>
        <w:top w:val="none" w:sz="0" w:space="0" w:color="auto"/>
        <w:left w:val="none" w:sz="0" w:space="0" w:color="auto"/>
        <w:bottom w:val="none" w:sz="0" w:space="0" w:color="auto"/>
        <w:right w:val="none" w:sz="0" w:space="0" w:color="auto"/>
      </w:divBdr>
    </w:div>
    <w:div w:id="622536844">
      <w:bodyDiv w:val="1"/>
      <w:marLeft w:val="0"/>
      <w:marRight w:val="0"/>
      <w:marTop w:val="0"/>
      <w:marBottom w:val="0"/>
      <w:divBdr>
        <w:top w:val="none" w:sz="0" w:space="0" w:color="auto"/>
        <w:left w:val="none" w:sz="0" w:space="0" w:color="auto"/>
        <w:bottom w:val="none" w:sz="0" w:space="0" w:color="auto"/>
        <w:right w:val="none" w:sz="0" w:space="0" w:color="auto"/>
      </w:divBdr>
    </w:div>
    <w:div w:id="634944966">
      <w:bodyDiv w:val="1"/>
      <w:marLeft w:val="0"/>
      <w:marRight w:val="0"/>
      <w:marTop w:val="0"/>
      <w:marBottom w:val="0"/>
      <w:divBdr>
        <w:top w:val="none" w:sz="0" w:space="0" w:color="auto"/>
        <w:left w:val="none" w:sz="0" w:space="0" w:color="auto"/>
        <w:bottom w:val="none" w:sz="0" w:space="0" w:color="auto"/>
        <w:right w:val="none" w:sz="0" w:space="0" w:color="auto"/>
      </w:divBdr>
    </w:div>
    <w:div w:id="637684820">
      <w:bodyDiv w:val="1"/>
      <w:marLeft w:val="0"/>
      <w:marRight w:val="0"/>
      <w:marTop w:val="0"/>
      <w:marBottom w:val="0"/>
      <w:divBdr>
        <w:top w:val="none" w:sz="0" w:space="0" w:color="auto"/>
        <w:left w:val="none" w:sz="0" w:space="0" w:color="auto"/>
        <w:bottom w:val="none" w:sz="0" w:space="0" w:color="auto"/>
        <w:right w:val="none" w:sz="0" w:space="0" w:color="auto"/>
      </w:divBdr>
    </w:div>
    <w:div w:id="641814766">
      <w:bodyDiv w:val="1"/>
      <w:marLeft w:val="0"/>
      <w:marRight w:val="0"/>
      <w:marTop w:val="0"/>
      <w:marBottom w:val="0"/>
      <w:divBdr>
        <w:top w:val="none" w:sz="0" w:space="0" w:color="auto"/>
        <w:left w:val="none" w:sz="0" w:space="0" w:color="auto"/>
        <w:bottom w:val="none" w:sz="0" w:space="0" w:color="auto"/>
        <w:right w:val="none" w:sz="0" w:space="0" w:color="auto"/>
      </w:divBdr>
    </w:div>
    <w:div w:id="642198301">
      <w:bodyDiv w:val="1"/>
      <w:marLeft w:val="0"/>
      <w:marRight w:val="0"/>
      <w:marTop w:val="0"/>
      <w:marBottom w:val="0"/>
      <w:divBdr>
        <w:top w:val="none" w:sz="0" w:space="0" w:color="auto"/>
        <w:left w:val="none" w:sz="0" w:space="0" w:color="auto"/>
        <w:bottom w:val="none" w:sz="0" w:space="0" w:color="auto"/>
        <w:right w:val="none" w:sz="0" w:space="0" w:color="auto"/>
      </w:divBdr>
    </w:div>
    <w:div w:id="642855405">
      <w:bodyDiv w:val="1"/>
      <w:marLeft w:val="0"/>
      <w:marRight w:val="0"/>
      <w:marTop w:val="0"/>
      <w:marBottom w:val="0"/>
      <w:divBdr>
        <w:top w:val="none" w:sz="0" w:space="0" w:color="auto"/>
        <w:left w:val="none" w:sz="0" w:space="0" w:color="auto"/>
        <w:bottom w:val="none" w:sz="0" w:space="0" w:color="auto"/>
        <w:right w:val="none" w:sz="0" w:space="0" w:color="auto"/>
      </w:divBdr>
    </w:div>
    <w:div w:id="644505230">
      <w:bodyDiv w:val="1"/>
      <w:marLeft w:val="0"/>
      <w:marRight w:val="0"/>
      <w:marTop w:val="0"/>
      <w:marBottom w:val="0"/>
      <w:divBdr>
        <w:top w:val="none" w:sz="0" w:space="0" w:color="auto"/>
        <w:left w:val="none" w:sz="0" w:space="0" w:color="auto"/>
        <w:bottom w:val="none" w:sz="0" w:space="0" w:color="auto"/>
        <w:right w:val="none" w:sz="0" w:space="0" w:color="auto"/>
      </w:divBdr>
    </w:div>
    <w:div w:id="646668754">
      <w:bodyDiv w:val="1"/>
      <w:marLeft w:val="0"/>
      <w:marRight w:val="0"/>
      <w:marTop w:val="0"/>
      <w:marBottom w:val="0"/>
      <w:divBdr>
        <w:top w:val="none" w:sz="0" w:space="0" w:color="auto"/>
        <w:left w:val="none" w:sz="0" w:space="0" w:color="auto"/>
        <w:bottom w:val="none" w:sz="0" w:space="0" w:color="auto"/>
        <w:right w:val="none" w:sz="0" w:space="0" w:color="auto"/>
      </w:divBdr>
    </w:div>
    <w:div w:id="657346462">
      <w:bodyDiv w:val="1"/>
      <w:marLeft w:val="0"/>
      <w:marRight w:val="0"/>
      <w:marTop w:val="0"/>
      <w:marBottom w:val="0"/>
      <w:divBdr>
        <w:top w:val="none" w:sz="0" w:space="0" w:color="auto"/>
        <w:left w:val="none" w:sz="0" w:space="0" w:color="auto"/>
        <w:bottom w:val="none" w:sz="0" w:space="0" w:color="auto"/>
        <w:right w:val="none" w:sz="0" w:space="0" w:color="auto"/>
      </w:divBdr>
    </w:div>
    <w:div w:id="657808372">
      <w:bodyDiv w:val="1"/>
      <w:marLeft w:val="0"/>
      <w:marRight w:val="0"/>
      <w:marTop w:val="0"/>
      <w:marBottom w:val="0"/>
      <w:divBdr>
        <w:top w:val="none" w:sz="0" w:space="0" w:color="auto"/>
        <w:left w:val="none" w:sz="0" w:space="0" w:color="auto"/>
        <w:bottom w:val="none" w:sz="0" w:space="0" w:color="auto"/>
        <w:right w:val="none" w:sz="0" w:space="0" w:color="auto"/>
      </w:divBdr>
    </w:div>
    <w:div w:id="661273389">
      <w:bodyDiv w:val="1"/>
      <w:marLeft w:val="0"/>
      <w:marRight w:val="0"/>
      <w:marTop w:val="0"/>
      <w:marBottom w:val="0"/>
      <w:divBdr>
        <w:top w:val="none" w:sz="0" w:space="0" w:color="auto"/>
        <w:left w:val="none" w:sz="0" w:space="0" w:color="auto"/>
        <w:bottom w:val="none" w:sz="0" w:space="0" w:color="auto"/>
        <w:right w:val="none" w:sz="0" w:space="0" w:color="auto"/>
      </w:divBdr>
    </w:div>
    <w:div w:id="662851886">
      <w:bodyDiv w:val="1"/>
      <w:marLeft w:val="0"/>
      <w:marRight w:val="0"/>
      <w:marTop w:val="0"/>
      <w:marBottom w:val="0"/>
      <w:divBdr>
        <w:top w:val="none" w:sz="0" w:space="0" w:color="auto"/>
        <w:left w:val="none" w:sz="0" w:space="0" w:color="auto"/>
        <w:bottom w:val="none" w:sz="0" w:space="0" w:color="auto"/>
        <w:right w:val="none" w:sz="0" w:space="0" w:color="auto"/>
      </w:divBdr>
    </w:div>
    <w:div w:id="664016535">
      <w:bodyDiv w:val="1"/>
      <w:marLeft w:val="0"/>
      <w:marRight w:val="0"/>
      <w:marTop w:val="0"/>
      <w:marBottom w:val="0"/>
      <w:divBdr>
        <w:top w:val="none" w:sz="0" w:space="0" w:color="auto"/>
        <w:left w:val="none" w:sz="0" w:space="0" w:color="auto"/>
        <w:bottom w:val="none" w:sz="0" w:space="0" w:color="auto"/>
        <w:right w:val="none" w:sz="0" w:space="0" w:color="auto"/>
      </w:divBdr>
    </w:div>
    <w:div w:id="668337593">
      <w:bodyDiv w:val="1"/>
      <w:marLeft w:val="0"/>
      <w:marRight w:val="0"/>
      <w:marTop w:val="0"/>
      <w:marBottom w:val="0"/>
      <w:divBdr>
        <w:top w:val="none" w:sz="0" w:space="0" w:color="auto"/>
        <w:left w:val="none" w:sz="0" w:space="0" w:color="auto"/>
        <w:bottom w:val="none" w:sz="0" w:space="0" w:color="auto"/>
        <w:right w:val="none" w:sz="0" w:space="0" w:color="auto"/>
      </w:divBdr>
    </w:div>
    <w:div w:id="668408048">
      <w:bodyDiv w:val="1"/>
      <w:marLeft w:val="0"/>
      <w:marRight w:val="0"/>
      <w:marTop w:val="0"/>
      <w:marBottom w:val="0"/>
      <w:divBdr>
        <w:top w:val="none" w:sz="0" w:space="0" w:color="auto"/>
        <w:left w:val="none" w:sz="0" w:space="0" w:color="auto"/>
        <w:bottom w:val="none" w:sz="0" w:space="0" w:color="auto"/>
        <w:right w:val="none" w:sz="0" w:space="0" w:color="auto"/>
      </w:divBdr>
    </w:div>
    <w:div w:id="676887633">
      <w:bodyDiv w:val="1"/>
      <w:marLeft w:val="0"/>
      <w:marRight w:val="0"/>
      <w:marTop w:val="0"/>
      <w:marBottom w:val="0"/>
      <w:divBdr>
        <w:top w:val="none" w:sz="0" w:space="0" w:color="auto"/>
        <w:left w:val="none" w:sz="0" w:space="0" w:color="auto"/>
        <w:bottom w:val="none" w:sz="0" w:space="0" w:color="auto"/>
        <w:right w:val="none" w:sz="0" w:space="0" w:color="auto"/>
      </w:divBdr>
    </w:div>
    <w:div w:id="680474320">
      <w:bodyDiv w:val="1"/>
      <w:marLeft w:val="0"/>
      <w:marRight w:val="0"/>
      <w:marTop w:val="0"/>
      <w:marBottom w:val="0"/>
      <w:divBdr>
        <w:top w:val="none" w:sz="0" w:space="0" w:color="auto"/>
        <w:left w:val="none" w:sz="0" w:space="0" w:color="auto"/>
        <w:bottom w:val="none" w:sz="0" w:space="0" w:color="auto"/>
        <w:right w:val="none" w:sz="0" w:space="0" w:color="auto"/>
      </w:divBdr>
    </w:div>
    <w:div w:id="692414694">
      <w:bodyDiv w:val="1"/>
      <w:marLeft w:val="0"/>
      <w:marRight w:val="0"/>
      <w:marTop w:val="0"/>
      <w:marBottom w:val="0"/>
      <w:divBdr>
        <w:top w:val="none" w:sz="0" w:space="0" w:color="auto"/>
        <w:left w:val="none" w:sz="0" w:space="0" w:color="auto"/>
        <w:bottom w:val="none" w:sz="0" w:space="0" w:color="auto"/>
        <w:right w:val="none" w:sz="0" w:space="0" w:color="auto"/>
      </w:divBdr>
    </w:div>
    <w:div w:id="701325933">
      <w:bodyDiv w:val="1"/>
      <w:marLeft w:val="0"/>
      <w:marRight w:val="0"/>
      <w:marTop w:val="0"/>
      <w:marBottom w:val="0"/>
      <w:divBdr>
        <w:top w:val="none" w:sz="0" w:space="0" w:color="auto"/>
        <w:left w:val="none" w:sz="0" w:space="0" w:color="auto"/>
        <w:bottom w:val="none" w:sz="0" w:space="0" w:color="auto"/>
        <w:right w:val="none" w:sz="0" w:space="0" w:color="auto"/>
      </w:divBdr>
    </w:div>
    <w:div w:id="704326501">
      <w:bodyDiv w:val="1"/>
      <w:marLeft w:val="0"/>
      <w:marRight w:val="0"/>
      <w:marTop w:val="0"/>
      <w:marBottom w:val="0"/>
      <w:divBdr>
        <w:top w:val="none" w:sz="0" w:space="0" w:color="auto"/>
        <w:left w:val="none" w:sz="0" w:space="0" w:color="auto"/>
        <w:bottom w:val="none" w:sz="0" w:space="0" w:color="auto"/>
        <w:right w:val="none" w:sz="0" w:space="0" w:color="auto"/>
      </w:divBdr>
    </w:div>
    <w:div w:id="708917176">
      <w:bodyDiv w:val="1"/>
      <w:marLeft w:val="0"/>
      <w:marRight w:val="0"/>
      <w:marTop w:val="0"/>
      <w:marBottom w:val="0"/>
      <w:divBdr>
        <w:top w:val="none" w:sz="0" w:space="0" w:color="auto"/>
        <w:left w:val="none" w:sz="0" w:space="0" w:color="auto"/>
        <w:bottom w:val="none" w:sz="0" w:space="0" w:color="auto"/>
        <w:right w:val="none" w:sz="0" w:space="0" w:color="auto"/>
      </w:divBdr>
    </w:div>
    <w:div w:id="709886774">
      <w:bodyDiv w:val="1"/>
      <w:marLeft w:val="0"/>
      <w:marRight w:val="0"/>
      <w:marTop w:val="0"/>
      <w:marBottom w:val="0"/>
      <w:divBdr>
        <w:top w:val="none" w:sz="0" w:space="0" w:color="auto"/>
        <w:left w:val="none" w:sz="0" w:space="0" w:color="auto"/>
        <w:bottom w:val="none" w:sz="0" w:space="0" w:color="auto"/>
        <w:right w:val="none" w:sz="0" w:space="0" w:color="auto"/>
      </w:divBdr>
    </w:div>
    <w:div w:id="711997839">
      <w:bodyDiv w:val="1"/>
      <w:marLeft w:val="0"/>
      <w:marRight w:val="0"/>
      <w:marTop w:val="0"/>
      <w:marBottom w:val="0"/>
      <w:divBdr>
        <w:top w:val="none" w:sz="0" w:space="0" w:color="auto"/>
        <w:left w:val="none" w:sz="0" w:space="0" w:color="auto"/>
        <w:bottom w:val="none" w:sz="0" w:space="0" w:color="auto"/>
        <w:right w:val="none" w:sz="0" w:space="0" w:color="auto"/>
      </w:divBdr>
    </w:div>
    <w:div w:id="712576892">
      <w:bodyDiv w:val="1"/>
      <w:marLeft w:val="0"/>
      <w:marRight w:val="0"/>
      <w:marTop w:val="0"/>
      <w:marBottom w:val="0"/>
      <w:divBdr>
        <w:top w:val="none" w:sz="0" w:space="0" w:color="auto"/>
        <w:left w:val="none" w:sz="0" w:space="0" w:color="auto"/>
        <w:bottom w:val="none" w:sz="0" w:space="0" w:color="auto"/>
        <w:right w:val="none" w:sz="0" w:space="0" w:color="auto"/>
      </w:divBdr>
    </w:div>
    <w:div w:id="712853892">
      <w:bodyDiv w:val="1"/>
      <w:marLeft w:val="0"/>
      <w:marRight w:val="0"/>
      <w:marTop w:val="0"/>
      <w:marBottom w:val="0"/>
      <w:divBdr>
        <w:top w:val="none" w:sz="0" w:space="0" w:color="auto"/>
        <w:left w:val="none" w:sz="0" w:space="0" w:color="auto"/>
        <w:bottom w:val="none" w:sz="0" w:space="0" w:color="auto"/>
        <w:right w:val="none" w:sz="0" w:space="0" w:color="auto"/>
      </w:divBdr>
    </w:div>
    <w:div w:id="716587467">
      <w:bodyDiv w:val="1"/>
      <w:marLeft w:val="0"/>
      <w:marRight w:val="0"/>
      <w:marTop w:val="0"/>
      <w:marBottom w:val="0"/>
      <w:divBdr>
        <w:top w:val="none" w:sz="0" w:space="0" w:color="auto"/>
        <w:left w:val="none" w:sz="0" w:space="0" w:color="auto"/>
        <w:bottom w:val="none" w:sz="0" w:space="0" w:color="auto"/>
        <w:right w:val="none" w:sz="0" w:space="0" w:color="auto"/>
      </w:divBdr>
    </w:div>
    <w:div w:id="720633880">
      <w:bodyDiv w:val="1"/>
      <w:marLeft w:val="0"/>
      <w:marRight w:val="0"/>
      <w:marTop w:val="0"/>
      <w:marBottom w:val="0"/>
      <w:divBdr>
        <w:top w:val="none" w:sz="0" w:space="0" w:color="auto"/>
        <w:left w:val="none" w:sz="0" w:space="0" w:color="auto"/>
        <w:bottom w:val="none" w:sz="0" w:space="0" w:color="auto"/>
        <w:right w:val="none" w:sz="0" w:space="0" w:color="auto"/>
      </w:divBdr>
    </w:div>
    <w:div w:id="729765860">
      <w:bodyDiv w:val="1"/>
      <w:marLeft w:val="0"/>
      <w:marRight w:val="0"/>
      <w:marTop w:val="0"/>
      <w:marBottom w:val="0"/>
      <w:divBdr>
        <w:top w:val="none" w:sz="0" w:space="0" w:color="auto"/>
        <w:left w:val="none" w:sz="0" w:space="0" w:color="auto"/>
        <w:bottom w:val="none" w:sz="0" w:space="0" w:color="auto"/>
        <w:right w:val="none" w:sz="0" w:space="0" w:color="auto"/>
      </w:divBdr>
    </w:div>
    <w:div w:id="731272394">
      <w:bodyDiv w:val="1"/>
      <w:marLeft w:val="0"/>
      <w:marRight w:val="0"/>
      <w:marTop w:val="0"/>
      <w:marBottom w:val="0"/>
      <w:divBdr>
        <w:top w:val="none" w:sz="0" w:space="0" w:color="auto"/>
        <w:left w:val="none" w:sz="0" w:space="0" w:color="auto"/>
        <w:bottom w:val="none" w:sz="0" w:space="0" w:color="auto"/>
        <w:right w:val="none" w:sz="0" w:space="0" w:color="auto"/>
      </w:divBdr>
    </w:div>
    <w:div w:id="738675581">
      <w:bodyDiv w:val="1"/>
      <w:marLeft w:val="0"/>
      <w:marRight w:val="0"/>
      <w:marTop w:val="0"/>
      <w:marBottom w:val="0"/>
      <w:divBdr>
        <w:top w:val="none" w:sz="0" w:space="0" w:color="auto"/>
        <w:left w:val="none" w:sz="0" w:space="0" w:color="auto"/>
        <w:bottom w:val="none" w:sz="0" w:space="0" w:color="auto"/>
        <w:right w:val="none" w:sz="0" w:space="0" w:color="auto"/>
      </w:divBdr>
    </w:div>
    <w:div w:id="748429129">
      <w:bodyDiv w:val="1"/>
      <w:marLeft w:val="0"/>
      <w:marRight w:val="0"/>
      <w:marTop w:val="0"/>
      <w:marBottom w:val="0"/>
      <w:divBdr>
        <w:top w:val="none" w:sz="0" w:space="0" w:color="auto"/>
        <w:left w:val="none" w:sz="0" w:space="0" w:color="auto"/>
        <w:bottom w:val="none" w:sz="0" w:space="0" w:color="auto"/>
        <w:right w:val="none" w:sz="0" w:space="0" w:color="auto"/>
      </w:divBdr>
    </w:div>
    <w:div w:id="749548690">
      <w:bodyDiv w:val="1"/>
      <w:marLeft w:val="0"/>
      <w:marRight w:val="0"/>
      <w:marTop w:val="0"/>
      <w:marBottom w:val="0"/>
      <w:divBdr>
        <w:top w:val="none" w:sz="0" w:space="0" w:color="auto"/>
        <w:left w:val="none" w:sz="0" w:space="0" w:color="auto"/>
        <w:bottom w:val="none" w:sz="0" w:space="0" w:color="auto"/>
        <w:right w:val="none" w:sz="0" w:space="0" w:color="auto"/>
      </w:divBdr>
    </w:div>
    <w:div w:id="751120750">
      <w:bodyDiv w:val="1"/>
      <w:marLeft w:val="0"/>
      <w:marRight w:val="0"/>
      <w:marTop w:val="0"/>
      <w:marBottom w:val="0"/>
      <w:divBdr>
        <w:top w:val="none" w:sz="0" w:space="0" w:color="auto"/>
        <w:left w:val="none" w:sz="0" w:space="0" w:color="auto"/>
        <w:bottom w:val="none" w:sz="0" w:space="0" w:color="auto"/>
        <w:right w:val="none" w:sz="0" w:space="0" w:color="auto"/>
      </w:divBdr>
    </w:div>
    <w:div w:id="752091858">
      <w:bodyDiv w:val="1"/>
      <w:marLeft w:val="0"/>
      <w:marRight w:val="0"/>
      <w:marTop w:val="0"/>
      <w:marBottom w:val="0"/>
      <w:divBdr>
        <w:top w:val="none" w:sz="0" w:space="0" w:color="auto"/>
        <w:left w:val="none" w:sz="0" w:space="0" w:color="auto"/>
        <w:bottom w:val="none" w:sz="0" w:space="0" w:color="auto"/>
        <w:right w:val="none" w:sz="0" w:space="0" w:color="auto"/>
      </w:divBdr>
    </w:div>
    <w:div w:id="764495713">
      <w:bodyDiv w:val="1"/>
      <w:marLeft w:val="0"/>
      <w:marRight w:val="0"/>
      <w:marTop w:val="0"/>
      <w:marBottom w:val="0"/>
      <w:divBdr>
        <w:top w:val="none" w:sz="0" w:space="0" w:color="auto"/>
        <w:left w:val="none" w:sz="0" w:space="0" w:color="auto"/>
        <w:bottom w:val="none" w:sz="0" w:space="0" w:color="auto"/>
        <w:right w:val="none" w:sz="0" w:space="0" w:color="auto"/>
      </w:divBdr>
    </w:div>
    <w:div w:id="766391646">
      <w:bodyDiv w:val="1"/>
      <w:marLeft w:val="0"/>
      <w:marRight w:val="0"/>
      <w:marTop w:val="0"/>
      <w:marBottom w:val="0"/>
      <w:divBdr>
        <w:top w:val="none" w:sz="0" w:space="0" w:color="auto"/>
        <w:left w:val="none" w:sz="0" w:space="0" w:color="auto"/>
        <w:bottom w:val="none" w:sz="0" w:space="0" w:color="auto"/>
        <w:right w:val="none" w:sz="0" w:space="0" w:color="auto"/>
      </w:divBdr>
    </w:div>
    <w:div w:id="767042702">
      <w:bodyDiv w:val="1"/>
      <w:marLeft w:val="0"/>
      <w:marRight w:val="0"/>
      <w:marTop w:val="0"/>
      <w:marBottom w:val="0"/>
      <w:divBdr>
        <w:top w:val="none" w:sz="0" w:space="0" w:color="auto"/>
        <w:left w:val="none" w:sz="0" w:space="0" w:color="auto"/>
        <w:bottom w:val="none" w:sz="0" w:space="0" w:color="auto"/>
        <w:right w:val="none" w:sz="0" w:space="0" w:color="auto"/>
      </w:divBdr>
    </w:div>
    <w:div w:id="781875252">
      <w:bodyDiv w:val="1"/>
      <w:marLeft w:val="0"/>
      <w:marRight w:val="0"/>
      <w:marTop w:val="0"/>
      <w:marBottom w:val="0"/>
      <w:divBdr>
        <w:top w:val="none" w:sz="0" w:space="0" w:color="auto"/>
        <w:left w:val="none" w:sz="0" w:space="0" w:color="auto"/>
        <w:bottom w:val="none" w:sz="0" w:space="0" w:color="auto"/>
        <w:right w:val="none" w:sz="0" w:space="0" w:color="auto"/>
      </w:divBdr>
    </w:div>
    <w:div w:id="784081044">
      <w:bodyDiv w:val="1"/>
      <w:marLeft w:val="0"/>
      <w:marRight w:val="0"/>
      <w:marTop w:val="0"/>
      <w:marBottom w:val="0"/>
      <w:divBdr>
        <w:top w:val="none" w:sz="0" w:space="0" w:color="auto"/>
        <w:left w:val="none" w:sz="0" w:space="0" w:color="auto"/>
        <w:bottom w:val="none" w:sz="0" w:space="0" w:color="auto"/>
        <w:right w:val="none" w:sz="0" w:space="0" w:color="auto"/>
      </w:divBdr>
    </w:div>
    <w:div w:id="785469192">
      <w:bodyDiv w:val="1"/>
      <w:marLeft w:val="0"/>
      <w:marRight w:val="0"/>
      <w:marTop w:val="0"/>
      <w:marBottom w:val="0"/>
      <w:divBdr>
        <w:top w:val="none" w:sz="0" w:space="0" w:color="auto"/>
        <w:left w:val="none" w:sz="0" w:space="0" w:color="auto"/>
        <w:bottom w:val="none" w:sz="0" w:space="0" w:color="auto"/>
        <w:right w:val="none" w:sz="0" w:space="0" w:color="auto"/>
      </w:divBdr>
    </w:div>
    <w:div w:id="786974842">
      <w:bodyDiv w:val="1"/>
      <w:marLeft w:val="0"/>
      <w:marRight w:val="0"/>
      <w:marTop w:val="0"/>
      <w:marBottom w:val="0"/>
      <w:divBdr>
        <w:top w:val="none" w:sz="0" w:space="0" w:color="auto"/>
        <w:left w:val="none" w:sz="0" w:space="0" w:color="auto"/>
        <w:bottom w:val="none" w:sz="0" w:space="0" w:color="auto"/>
        <w:right w:val="none" w:sz="0" w:space="0" w:color="auto"/>
      </w:divBdr>
    </w:div>
    <w:div w:id="792287576">
      <w:bodyDiv w:val="1"/>
      <w:marLeft w:val="0"/>
      <w:marRight w:val="0"/>
      <w:marTop w:val="0"/>
      <w:marBottom w:val="0"/>
      <w:divBdr>
        <w:top w:val="none" w:sz="0" w:space="0" w:color="auto"/>
        <w:left w:val="none" w:sz="0" w:space="0" w:color="auto"/>
        <w:bottom w:val="none" w:sz="0" w:space="0" w:color="auto"/>
        <w:right w:val="none" w:sz="0" w:space="0" w:color="auto"/>
      </w:divBdr>
    </w:div>
    <w:div w:id="795367088">
      <w:bodyDiv w:val="1"/>
      <w:marLeft w:val="0"/>
      <w:marRight w:val="0"/>
      <w:marTop w:val="0"/>
      <w:marBottom w:val="0"/>
      <w:divBdr>
        <w:top w:val="none" w:sz="0" w:space="0" w:color="auto"/>
        <w:left w:val="none" w:sz="0" w:space="0" w:color="auto"/>
        <w:bottom w:val="none" w:sz="0" w:space="0" w:color="auto"/>
        <w:right w:val="none" w:sz="0" w:space="0" w:color="auto"/>
      </w:divBdr>
    </w:div>
    <w:div w:id="795567340">
      <w:bodyDiv w:val="1"/>
      <w:marLeft w:val="0"/>
      <w:marRight w:val="0"/>
      <w:marTop w:val="0"/>
      <w:marBottom w:val="0"/>
      <w:divBdr>
        <w:top w:val="none" w:sz="0" w:space="0" w:color="auto"/>
        <w:left w:val="none" w:sz="0" w:space="0" w:color="auto"/>
        <w:bottom w:val="none" w:sz="0" w:space="0" w:color="auto"/>
        <w:right w:val="none" w:sz="0" w:space="0" w:color="auto"/>
      </w:divBdr>
    </w:div>
    <w:div w:id="803306901">
      <w:bodyDiv w:val="1"/>
      <w:marLeft w:val="0"/>
      <w:marRight w:val="0"/>
      <w:marTop w:val="0"/>
      <w:marBottom w:val="0"/>
      <w:divBdr>
        <w:top w:val="none" w:sz="0" w:space="0" w:color="auto"/>
        <w:left w:val="none" w:sz="0" w:space="0" w:color="auto"/>
        <w:bottom w:val="none" w:sz="0" w:space="0" w:color="auto"/>
        <w:right w:val="none" w:sz="0" w:space="0" w:color="auto"/>
      </w:divBdr>
    </w:div>
    <w:div w:id="806435047">
      <w:bodyDiv w:val="1"/>
      <w:marLeft w:val="0"/>
      <w:marRight w:val="0"/>
      <w:marTop w:val="0"/>
      <w:marBottom w:val="0"/>
      <w:divBdr>
        <w:top w:val="none" w:sz="0" w:space="0" w:color="auto"/>
        <w:left w:val="none" w:sz="0" w:space="0" w:color="auto"/>
        <w:bottom w:val="none" w:sz="0" w:space="0" w:color="auto"/>
        <w:right w:val="none" w:sz="0" w:space="0" w:color="auto"/>
      </w:divBdr>
    </w:div>
    <w:div w:id="806629921">
      <w:bodyDiv w:val="1"/>
      <w:marLeft w:val="0"/>
      <w:marRight w:val="0"/>
      <w:marTop w:val="0"/>
      <w:marBottom w:val="0"/>
      <w:divBdr>
        <w:top w:val="none" w:sz="0" w:space="0" w:color="auto"/>
        <w:left w:val="none" w:sz="0" w:space="0" w:color="auto"/>
        <w:bottom w:val="none" w:sz="0" w:space="0" w:color="auto"/>
        <w:right w:val="none" w:sz="0" w:space="0" w:color="auto"/>
      </w:divBdr>
    </w:div>
    <w:div w:id="807086557">
      <w:bodyDiv w:val="1"/>
      <w:marLeft w:val="0"/>
      <w:marRight w:val="0"/>
      <w:marTop w:val="0"/>
      <w:marBottom w:val="0"/>
      <w:divBdr>
        <w:top w:val="none" w:sz="0" w:space="0" w:color="auto"/>
        <w:left w:val="none" w:sz="0" w:space="0" w:color="auto"/>
        <w:bottom w:val="none" w:sz="0" w:space="0" w:color="auto"/>
        <w:right w:val="none" w:sz="0" w:space="0" w:color="auto"/>
      </w:divBdr>
    </w:div>
    <w:div w:id="810564727">
      <w:bodyDiv w:val="1"/>
      <w:marLeft w:val="0"/>
      <w:marRight w:val="0"/>
      <w:marTop w:val="0"/>
      <w:marBottom w:val="0"/>
      <w:divBdr>
        <w:top w:val="none" w:sz="0" w:space="0" w:color="auto"/>
        <w:left w:val="none" w:sz="0" w:space="0" w:color="auto"/>
        <w:bottom w:val="none" w:sz="0" w:space="0" w:color="auto"/>
        <w:right w:val="none" w:sz="0" w:space="0" w:color="auto"/>
      </w:divBdr>
    </w:div>
    <w:div w:id="811485492">
      <w:bodyDiv w:val="1"/>
      <w:marLeft w:val="0"/>
      <w:marRight w:val="0"/>
      <w:marTop w:val="0"/>
      <w:marBottom w:val="0"/>
      <w:divBdr>
        <w:top w:val="none" w:sz="0" w:space="0" w:color="auto"/>
        <w:left w:val="none" w:sz="0" w:space="0" w:color="auto"/>
        <w:bottom w:val="none" w:sz="0" w:space="0" w:color="auto"/>
        <w:right w:val="none" w:sz="0" w:space="0" w:color="auto"/>
      </w:divBdr>
    </w:div>
    <w:div w:id="830025043">
      <w:bodyDiv w:val="1"/>
      <w:marLeft w:val="0"/>
      <w:marRight w:val="0"/>
      <w:marTop w:val="0"/>
      <w:marBottom w:val="0"/>
      <w:divBdr>
        <w:top w:val="none" w:sz="0" w:space="0" w:color="auto"/>
        <w:left w:val="none" w:sz="0" w:space="0" w:color="auto"/>
        <w:bottom w:val="none" w:sz="0" w:space="0" w:color="auto"/>
        <w:right w:val="none" w:sz="0" w:space="0" w:color="auto"/>
      </w:divBdr>
    </w:div>
    <w:div w:id="836849630">
      <w:bodyDiv w:val="1"/>
      <w:marLeft w:val="0"/>
      <w:marRight w:val="0"/>
      <w:marTop w:val="0"/>
      <w:marBottom w:val="0"/>
      <w:divBdr>
        <w:top w:val="none" w:sz="0" w:space="0" w:color="auto"/>
        <w:left w:val="none" w:sz="0" w:space="0" w:color="auto"/>
        <w:bottom w:val="none" w:sz="0" w:space="0" w:color="auto"/>
        <w:right w:val="none" w:sz="0" w:space="0" w:color="auto"/>
      </w:divBdr>
    </w:div>
    <w:div w:id="840631610">
      <w:bodyDiv w:val="1"/>
      <w:marLeft w:val="0"/>
      <w:marRight w:val="0"/>
      <w:marTop w:val="0"/>
      <w:marBottom w:val="0"/>
      <w:divBdr>
        <w:top w:val="none" w:sz="0" w:space="0" w:color="auto"/>
        <w:left w:val="none" w:sz="0" w:space="0" w:color="auto"/>
        <w:bottom w:val="none" w:sz="0" w:space="0" w:color="auto"/>
        <w:right w:val="none" w:sz="0" w:space="0" w:color="auto"/>
      </w:divBdr>
    </w:div>
    <w:div w:id="840849792">
      <w:bodyDiv w:val="1"/>
      <w:marLeft w:val="0"/>
      <w:marRight w:val="0"/>
      <w:marTop w:val="0"/>
      <w:marBottom w:val="0"/>
      <w:divBdr>
        <w:top w:val="none" w:sz="0" w:space="0" w:color="auto"/>
        <w:left w:val="none" w:sz="0" w:space="0" w:color="auto"/>
        <w:bottom w:val="none" w:sz="0" w:space="0" w:color="auto"/>
        <w:right w:val="none" w:sz="0" w:space="0" w:color="auto"/>
      </w:divBdr>
    </w:div>
    <w:div w:id="843469639">
      <w:bodyDiv w:val="1"/>
      <w:marLeft w:val="0"/>
      <w:marRight w:val="0"/>
      <w:marTop w:val="0"/>
      <w:marBottom w:val="0"/>
      <w:divBdr>
        <w:top w:val="none" w:sz="0" w:space="0" w:color="auto"/>
        <w:left w:val="none" w:sz="0" w:space="0" w:color="auto"/>
        <w:bottom w:val="none" w:sz="0" w:space="0" w:color="auto"/>
        <w:right w:val="none" w:sz="0" w:space="0" w:color="auto"/>
      </w:divBdr>
    </w:div>
    <w:div w:id="844397099">
      <w:bodyDiv w:val="1"/>
      <w:marLeft w:val="0"/>
      <w:marRight w:val="0"/>
      <w:marTop w:val="0"/>
      <w:marBottom w:val="0"/>
      <w:divBdr>
        <w:top w:val="none" w:sz="0" w:space="0" w:color="auto"/>
        <w:left w:val="none" w:sz="0" w:space="0" w:color="auto"/>
        <w:bottom w:val="none" w:sz="0" w:space="0" w:color="auto"/>
        <w:right w:val="none" w:sz="0" w:space="0" w:color="auto"/>
      </w:divBdr>
    </w:div>
    <w:div w:id="852233038">
      <w:bodyDiv w:val="1"/>
      <w:marLeft w:val="0"/>
      <w:marRight w:val="0"/>
      <w:marTop w:val="0"/>
      <w:marBottom w:val="0"/>
      <w:divBdr>
        <w:top w:val="none" w:sz="0" w:space="0" w:color="auto"/>
        <w:left w:val="none" w:sz="0" w:space="0" w:color="auto"/>
        <w:bottom w:val="none" w:sz="0" w:space="0" w:color="auto"/>
        <w:right w:val="none" w:sz="0" w:space="0" w:color="auto"/>
      </w:divBdr>
    </w:div>
    <w:div w:id="853613518">
      <w:bodyDiv w:val="1"/>
      <w:marLeft w:val="0"/>
      <w:marRight w:val="0"/>
      <w:marTop w:val="0"/>
      <w:marBottom w:val="0"/>
      <w:divBdr>
        <w:top w:val="none" w:sz="0" w:space="0" w:color="auto"/>
        <w:left w:val="none" w:sz="0" w:space="0" w:color="auto"/>
        <w:bottom w:val="none" w:sz="0" w:space="0" w:color="auto"/>
        <w:right w:val="none" w:sz="0" w:space="0" w:color="auto"/>
      </w:divBdr>
    </w:div>
    <w:div w:id="866796665">
      <w:bodyDiv w:val="1"/>
      <w:marLeft w:val="0"/>
      <w:marRight w:val="0"/>
      <w:marTop w:val="0"/>
      <w:marBottom w:val="0"/>
      <w:divBdr>
        <w:top w:val="none" w:sz="0" w:space="0" w:color="auto"/>
        <w:left w:val="none" w:sz="0" w:space="0" w:color="auto"/>
        <w:bottom w:val="none" w:sz="0" w:space="0" w:color="auto"/>
        <w:right w:val="none" w:sz="0" w:space="0" w:color="auto"/>
      </w:divBdr>
    </w:div>
    <w:div w:id="867447567">
      <w:bodyDiv w:val="1"/>
      <w:marLeft w:val="0"/>
      <w:marRight w:val="0"/>
      <w:marTop w:val="0"/>
      <w:marBottom w:val="0"/>
      <w:divBdr>
        <w:top w:val="none" w:sz="0" w:space="0" w:color="auto"/>
        <w:left w:val="none" w:sz="0" w:space="0" w:color="auto"/>
        <w:bottom w:val="none" w:sz="0" w:space="0" w:color="auto"/>
        <w:right w:val="none" w:sz="0" w:space="0" w:color="auto"/>
      </w:divBdr>
    </w:div>
    <w:div w:id="873929803">
      <w:bodyDiv w:val="1"/>
      <w:marLeft w:val="0"/>
      <w:marRight w:val="0"/>
      <w:marTop w:val="0"/>
      <w:marBottom w:val="0"/>
      <w:divBdr>
        <w:top w:val="none" w:sz="0" w:space="0" w:color="auto"/>
        <w:left w:val="none" w:sz="0" w:space="0" w:color="auto"/>
        <w:bottom w:val="none" w:sz="0" w:space="0" w:color="auto"/>
        <w:right w:val="none" w:sz="0" w:space="0" w:color="auto"/>
      </w:divBdr>
    </w:div>
    <w:div w:id="878125451">
      <w:bodyDiv w:val="1"/>
      <w:marLeft w:val="0"/>
      <w:marRight w:val="0"/>
      <w:marTop w:val="0"/>
      <w:marBottom w:val="0"/>
      <w:divBdr>
        <w:top w:val="none" w:sz="0" w:space="0" w:color="auto"/>
        <w:left w:val="none" w:sz="0" w:space="0" w:color="auto"/>
        <w:bottom w:val="none" w:sz="0" w:space="0" w:color="auto"/>
        <w:right w:val="none" w:sz="0" w:space="0" w:color="auto"/>
      </w:divBdr>
    </w:div>
    <w:div w:id="894659683">
      <w:bodyDiv w:val="1"/>
      <w:marLeft w:val="0"/>
      <w:marRight w:val="0"/>
      <w:marTop w:val="0"/>
      <w:marBottom w:val="0"/>
      <w:divBdr>
        <w:top w:val="none" w:sz="0" w:space="0" w:color="auto"/>
        <w:left w:val="none" w:sz="0" w:space="0" w:color="auto"/>
        <w:bottom w:val="none" w:sz="0" w:space="0" w:color="auto"/>
        <w:right w:val="none" w:sz="0" w:space="0" w:color="auto"/>
      </w:divBdr>
    </w:div>
    <w:div w:id="894854551">
      <w:bodyDiv w:val="1"/>
      <w:marLeft w:val="0"/>
      <w:marRight w:val="0"/>
      <w:marTop w:val="0"/>
      <w:marBottom w:val="0"/>
      <w:divBdr>
        <w:top w:val="none" w:sz="0" w:space="0" w:color="auto"/>
        <w:left w:val="none" w:sz="0" w:space="0" w:color="auto"/>
        <w:bottom w:val="none" w:sz="0" w:space="0" w:color="auto"/>
        <w:right w:val="none" w:sz="0" w:space="0" w:color="auto"/>
      </w:divBdr>
    </w:div>
    <w:div w:id="915089414">
      <w:bodyDiv w:val="1"/>
      <w:marLeft w:val="0"/>
      <w:marRight w:val="0"/>
      <w:marTop w:val="0"/>
      <w:marBottom w:val="0"/>
      <w:divBdr>
        <w:top w:val="none" w:sz="0" w:space="0" w:color="auto"/>
        <w:left w:val="none" w:sz="0" w:space="0" w:color="auto"/>
        <w:bottom w:val="none" w:sz="0" w:space="0" w:color="auto"/>
        <w:right w:val="none" w:sz="0" w:space="0" w:color="auto"/>
      </w:divBdr>
    </w:div>
    <w:div w:id="915556469">
      <w:bodyDiv w:val="1"/>
      <w:marLeft w:val="0"/>
      <w:marRight w:val="0"/>
      <w:marTop w:val="0"/>
      <w:marBottom w:val="0"/>
      <w:divBdr>
        <w:top w:val="none" w:sz="0" w:space="0" w:color="auto"/>
        <w:left w:val="none" w:sz="0" w:space="0" w:color="auto"/>
        <w:bottom w:val="none" w:sz="0" w:space="0" w:color="auto"/>
        <w:right w:val="none" w:sz="0" w:space="0" w:color="auto"/>
      </w:divBdr>
    </w:div>
    <w:div w:id="916356805">
      <w:bodyDiv w:val="1"/>
      <w:marLeft w:val="0"/>
      <w:marRight w:val="0"/>
      <w:marTop w:val="0"/>
      <w:marBottom w:val="0"/>
      <w:divBdr>
        <w:top w:val="none" w:sz="0" w:space="0" w:color="auto"/>
        <w:left w:val="none" w:sz="0" w:space="0" w:color="auto"/>
        <w:bottom w:val="none" w:sz="0" w:space="0" w:color="auto"/>
        <w:right w:val="none" w:sz="0" w:space="0" w:color="auto"/>
      </w:divBdr>
    </w:div>
    <w:div w:id="923495169">
      <w:bodyDiv w:val="1"/>
      <w:marLeft w:val="0"/>
      <w:marRight w:val="0"/>
      <w:marTop w:val="0"/>
      <w:marBottom w:val="0"/>
      <w:divBdr>
        <w:top w:val="none" w:sz="0" w:space="0" w:color="auto"/>
        <w:left w:val="none" w:sz="0" w:space="0" w:color="auto"/>
        <w:bottom w:val="none" w:sz="0" w:space="0" w:color="auto"/>
        <w:right w:val="none" w:sz="0" w:space="0" w:color="auto"/>
      </w:divBdr>
    </w:div>
    <w:div w:id="923806575">
      <w:bodyDiv w:val="1"/>
      <w:marLeft w:val="0"/>
      <w:marRight w:val="0"/>
      <w:marTop w:val="0"/>
      <w:marBottom w:val="0"/>
      <w:divBdr>
        <w:top w:val="none" w:sz="0" w:space="0" w:color="auto"/>
        <w:left w:val="none" w:sz="0" w:space="0" w:color="auto"/>
        <w:bottom w:val="none" w:sz="0" w:space="0" w:color="auto"/>
        <w:right w:val="none" w:sz="0" w:space="0" w:color="auto"/>
      </w:divBdr>
    </w:div>
    <w:div w:id="932203752">
      <w:bodyDiv w:val="1"/>
      <w:marLeft w:val="0"/>
      <w:marRight w:val="0"/>
      <w:marTop w:val="0"/>
      <w:marBottom w:val="0"/>
      <w:divBdr>
        <w:top w:val="none" w:sz="0" w:space="0" w:color="auto"/>
        <w:left w:val="none" w:sz="0" w:space="0" w:color="auto"/>
        <w:bottom w:val="none" w:sz="0" w:space="0" w:color="auto"/>
        <w:right w:val="none" w:sz="0" w:space="0" w:color="auto"/>
      </w:divBdr>
    </w:div>
    <w:div w:id="933590202">
      <w:bodyDiv w:val="1"/>
      <w:marLeft w:val="0"/>
      <w:marRight w:val="0"/>
      <w:marTop w:val="0"/>
      <w:marBottom w:val="0"/>
      <w:divBdr>
        <w:top w:val="none" w:sz="0" w:space="0" w:color="auto"/>
        <w:left w:val="none" w:sz="0" w:space="0" w:color="auto"/>
        <w:bottom w:val="none" w:sz="0" w:space="0" w:color="auto"/>
        <w:right w:val="none" w:sz="0" w:space="0" w:color="auto"/>
      </w:divBdr>
    </w:div>
    <w:div w:id="953824796">
      <w:bodyDiv w:val="1"/>
      <w:marLeft w:val="0"/>
      <w:marRight w:val="0"/>
      <w:marTop w:val="0"/>
      <w:marBottom w:val="0"/>
      <w:divBdr>
        <w:top w:val="none" w:sz="0" w:space="0" w:color="auto"/>
        <w:left w:val="none" w:sz="0" w:space="0" w:color="auto"/>
        <w:bottom w:val="none" w:sz="0" w:space="0" w:color="auto"/>
        <w:right w:val="none" w:sz="0" w:space="0" w:color="auto"/>
      </w:divBdr>
    </w:div>
    <w:div w:id="958954253">
      <w:bodyDiv w:val="1"/>
      <w:marLeft w:val="0"/>
      <w:marRight w:val="0"/>
      <w:marTop w:val="0"/>
      <w:marBottom w:val="0"/>
      <w:divBdr>
        <w:top w:val="none" w:sz="0" w:space="0" w:color="auto"/>
        <w:left w:val="none" w:sz="0" w:space="0" w:color="auto"/>
        <w:bottom w:val="none" w:sz="0" w:space="0" w:color="auto"/>
        <w:right w:val="none" w:sz="0" w:space="0" w:color="auto"/>
      </w:divBdr>
    </w:div>
    <w:div w:id="965281360">
      <w:bodyDiv w:val="1"/>
      <w:marLeft w:val="0"/>
      <w:marRight w:val="0"/>
      <w:marTop w:val="0"/>
      <w:marBottom w:val="0"/>
      <w:divBdr>
        <w:top w:val="none" w:sz="0" w:space="0" w:color="auto"/>
        <w:left w:val="none" w:sz="0" w:space="0" w:color="auto"/>
        <w:bottom w:val="none" w:sz="0" w:space="0" w:color="auto"/>
        <w:right w:val="none" w:sz="0" w:space="0" w:color="auto"/>
      </w:divBdr>
    </w:div>
    <w:div w:id="980573069">
      <w:bodyDiv w:val="1"/>
      <w:marLeft w:val="0"/>
      <w:marRight w:val="0"/>
      <w:marTop w:val="0"/>
      <w:marBottom w:val="0"/>
      <w:divBdr>
        <w:top w:val="none" w:sz="0" w:space="0" w:color="auto"/>
        <w:left w:val="none" w:sz="0" w:space="0" w:color="auto"/>
        <w:bottom w:val="none" w:sz="0" w:space="0" w:color="auto"/>
        <w:right w:val="none" w:sz="0" w:space="0" w:color="auto"/>
      </w:divBdr>
    </w:div>
    <w:div w:id="998189432">
      <w:bodyDiv w:val="1"/>
      <w:marLeft w:val="0"/>
      <w:marRight w:val="0"/>
      <w:marTop w:val="0"/>
      <w:marBottom w:val="0"/>
      <w:divBdr>
        <w:top w:val="none" w:sz="0" w:space="0" w:color="auto"/>
        <w:left w:val="none" w:sz="0" w:space="0" w:color="auto"/>
        <w:bottom w:val="none" w:sz="0" w:space="0" w:color="auto"/>
        <w:right w:val="none" w:sz="0" w:space="0" w:color="auto"/>
      </w:divBdr>
    </w:div>
    <w:div w:id="1003312622">
      <w:bodyDiv w:val="1"/>
      <w:marLeft w:val="0"/>
      <w:marRight w:val="0"/>
      <w:marTop w:val="0"/>
      <w:marBottom w:val="0"/>
      <w:divBdr>
        <w:top w:val="none" w:sz="0" w:space="0" w:color="auto"/>
        <w:left w:val="none" w:sz="0" w:space="0" w:color="auto"/>
        <w:bottom w:val="none" w:sz="0" w:space="0" w:color="auto"/>
        <w:right w:val="none" w:sz="0" w:space="0" w:color="auto"/>
      </w:divBdr>
    </w:div>
    <w:div w:id="1011492150">
      <w:bodyDiv w:val="1"/>
      <w:marLeft w:val="0"/>
      <w:marRight w:val="0"/>
      <w:marTop w:val="0"/>
      <w:marBottom w:val="0"/>
      <w:divBdr>
        <w:top w:val="none" w:sz="0" w:space="0" w:color="auto"/>
        <w:left w:val="none" w:sz="0" w:space="0" w:color="auto"/>
        <w:bottom w:val="none" w:sz="0" w:space="0" w:color="auto"/>
        <w:right w:val="none" w:sz="0" w:space="0" w:color="auto"/>
      </w:divBdr>
    </w:div>
    <w:div w:id="1015153808">
      <w:bodyDiv w:val="1"/>
      <w:marLeft w:val="0"/>
      <w:marRight w:val="0"/>
      <w:marTop w:val="0"/>
      <w:marBottom w:val="0"/>
      <w:divBdr>
        <w:top w:val="none" w:sz="0" w:space="0" w:color="auto"/>
        <w:left w:val="none" w:sz="0" w:space="0" w:color="auto"/>
        <w:bottom w:val="none" w:sz="0" w:space="0" w:color="auto"/>
        <w:right w:val="none" w:sz="0" w:space="0" w:color="auto"/>
      </w:divBdr>
    </w:div>
    <w:div w:id="1031495364">
      <w:bodyDiv w:val="1"/>
      <w:marLeft w:val="0"/>
      <w:marRight w:val="0"/>
      <w:marTop w:val="0"/>
      <w:marBottom w:val="0"/>
      <w:divBdr>
        <w:top w:val="none" w:sz="0" w:space="0" w:color="auto"/>
        <w:left w:val="none" w:sz="0" w:space="0" w:color="auto"/>
        <w:bottom w:val="none" w:sz="0" w:space="0" w:color="auto"/>
        <w:right w:val="none" w:sz="0" w:space="0" w:color="auto"/>
      </w:divBdr>
    </w:div>
    <w:div w:id="1032341692">
      <w:bodyDiv w:val="1"/>
      <w:marLeft w:val="0"/>
      <w:marRight w:val="0"/>
      <w:marTop w:val="0"/>
      <w:marBottom w:val="0"/>
      <w:divBdr>
        <w:top w:val="none" w:sz="0" w:space="0" w:color="auto"/>
        <w:left w:val="none" w:sz="0" w:space="0" w:color="auto"/>
        <w:bottom w:val="none" w:sz="0" w:space="0" w:color="auto"/>
        <w:right w:val="none" w:sz="0" w:space="0" w:color="auto"/>
      </w:divBdr>
    </w:div>
    <w:div w:id="1034231676">
      <w:bodyDiv w:val="1"/>
      <w:marLeft w:val="0"/>
      <w:marRight w:val="0"/>
      <w:marTop w:val="0"/>
      <w:marBottom w:val="0"/>
      <w:divBdr>
        <w:top w:val="none" w:sz="0" w:space="0" w:color="auto"/>
        <w:left w:val="none" w:sz="0" w:space="0" w:color="auto"/>
        <w:bottom w:val="none" w:sz="0" w:space="0" w:color="auto"/>
        <w:right w:val="none" w:sz="0" w:space="0" w:color="auto"/>
      </w:divBdr>
    </w:div>
    <w:div w:id="1041629190">
      <w:bodyDiv w:val="1"/>
      <w:marLeft w:val="0"/>
      <w:marRight w:val="0"/>
      <w:marTop w:val="0"/>
      <w:marBottom w:val="0"/>
      <w:divBdr>
        <w:top w:val="none" w:sz="0" w:space="0" w:color="auto"/>
        <w:left w:val="none" w:sz="0" w:space="0" w:color="auto"/>
        <w:bottom w:val="none" w:sz="0" w:space="0" w:color="auto"/>
        <w:right w:val="none" w:sz="0" w:space="0" w:color="auto"/>
      </w:divBdr>
    </w:div>
    <w:div w:id="1042945962">
      <w:bodyDiv w:val="1"/>
      <w:marLeft w:val="0"/>
      <w:marRight w:val="0"/>
      <w:marTop w:val="0"/>
      <w:marBottom w:val="0"/>
      <w:divBdr>
        <w:top w:val="none" w:sz="0" w:space="0" w:color="auto"/>
        <w:left w:val="none" w:sz="0" w:space="0" w:color="auto"/>
        <w:bottom w:val="none" w:sz="0" w:space="0" w:color="auto"/>
        <w:right w:val="none" w:sz="0" w:space="0" w:color="auto"/>
      </w:divBdr>
    </w:div>
    <w:div w:id="1043676429">
      <w:bodyDiv w:val="1"/>
      <w:marLeft w:val="0"/>
      <w:marRight w:val="0"/>
      <w:marTop w:val="0"/>
      <w:marBottom w:val="0"/>
      <w:divBdr>
        <w:top w:val="none" w:sz="0" w:space="0" w:color="auto"/>
        <w:left w:val="none" w:sz="0" w:space="0" w:color="auto"/>
        <w:bottom w:val="none" w:sz="0" w:space="0" w:color="auto"/>
        <w:right w:val="none" w:sz="0" w:space="0" w:color="auto"/>
      </w:divBdr>
    </w:div>
    <w:div w:id="1074819222">
      <w:bodyDiv w:val="1"/>
      <w:marLeft w:val="0"/>
      <w:marRight w:val="0"/>
      <w:marTop w:val="0"/>
      <w:marBottom w:val="0"/>
      <w:divBdr>
        <w:top w:val="none" w:sz="0" w:space="0" w:color="auto"/>
        <w:left w:val="none" w:sz="0" w:space="0" w:color="auto"/>
        <w:bottom w:val="none" w:sz="0" w:space="0" w:color="auto"/>
        <w:right w:val="none" w:sz="0" w:space="0" w:color="auto"/>
      </w:divBdr>
    </w:div>
    <w:div w:id="1079443908">
      <w:bodyDiv w:val="1"/>
      <w:marLeft w:val="0"/>
      <w:marRight w:val="0"/>
      <w:marTop w:val="0"/>
      <w:marBottom w:val="0"/>
      <w:divBdr>
        <w:top w:val="none" w:sz="0" w:space="0" w:color="auto"/>
        <w:left w:val="none" w:sz="0" w:space="0" w:color="auto"/>
        <w:bottom w:val="none" w:sz="0" w:space="0" w:color="auto"/>
        <w:right w:val="none" w:sz="0" w:space="0" w:color="auto"/>
      </w:divBdr>
    </w:div>
    <w:div w:id="1108507509">
      <w:bodyDiv w:val="1"/>
      <w:marLeft w:val="0"/>
      <w:marRight w:val="0"/>
      <w:marTop w:val="0"/>
      <w:marBottom w:val="0"/>
      <w:divBdr>
        <w:top w:val="none" w:sz="0" w:space="0" w:color="auto"/>
        <w:left w:val="none" w:sz="0" w:space="0" w:color="auto"/>
        <w:bottom w:val="none" w:sz="0" w:space="0" w:color="auto"/>
        <w:right w:val="none" w:sz="0" w:space="0" w:color="auto"/>
      </w:divBdr>
    </w:div>
    <w:div w:id="1110395338">
      <w:bodyDiv w:val="1"/>
      <w:marLeft w:val="0"/>
      <w:marRight w:val="0"/>
      <w:marTop w:val="0"/>
      <w:marBottom w:val="0"/>
      <w:divBdr>
        <w:top w:val="none" w:sz="0" w:space="0" w:color="auto"/>
        <w:left w:val="none" w:sz="0" w:space="0" w:color="auto"/>
        <w:bottom w:val="none" w:sz="0" w:space="0" w:color="auto"/>
        <w:right w:val="none" w:sz="0" w:space="0" w:color="auto"/>
      </w:divBdr>
    </w:div>
    <w:div w:id="1114523425">
      <w:bodyDiv w:val="1"/>
      <w:marLeft w:val="0"/>
      <w:marRight w:val="0"/>
      <w:marTop w:val="0"/>
      <w:marBottom w:val="0"/>
      <w:divBdr>
        <w:top w:val="none" w:sz="0" w:space="0" w:color="auto"/>
        <w:left w:val="none" w:sz="0" w:space="0" w:color="auto"/>
        <w:bottom w:val="none" w:sz="0" w:space="0" w:color="auto"/>
        <w:right w:val="none" w:sz="0" w:space="0" w:color="auto"/>
      </w:divBdr>
    </w:div>
    <w:div w:id="1116631993">
      <w:bodyDiv w:val="1"/>
      <w:marLeft w:val="0"/>
      <w:marRight w:val="0"/>
      <w:marTop w:val="0"/>
      <w:marBottom w:val="0"/>
      <w:divBdr>
        <w:top w:val="none" w:sz="0" w:space="0" w:color="auto"/>
        <w:left w:val="none" w:sz="0" w:space="0" w:color="auto"/>
        <w:bottom w:val="none" w:sz="0" w:space="0" w:color="auto"/>
        <w:right w:val="none" w:sz="0" w:space="0" w:color="auto"/>
      </w:divBdr>
    </w:div>
    <w:div w:id="1128553334">
      <w:bodyDiv w:val="1"/>
      <w:marLeft w:val="0"/>
      <w:marRight w:val="0"/>
      <w:marTop w:val="0"/>
      <w:marBottom w:val="0"/>
      <w:divBdr>
        <w:top w:val="none" w:sz="0" w:space="0" w:color="auto"/>
        <w:left w:val="none" w:sz="0" w:space="0" w:color="auto"/>
        <w:bottom w:val="none" w:sz="0" w:space="0" w:color="auto"/>
        <w:right w:val="none" w:sz="0" w:space="0" w:color="auto"/>
      </w:divBdr>
    </w:div>
    <w:div w:id="1130975485">
      <w:bodyDiv w:val="1"/>
      <w:marLeft w:val="0"/>
      <w:marRight w:val="0"/>
      <w:marTop w:val="0"/>
      <w:marBottom w:val="0"/>
      <w:divBdr>
        <w:top w:val="none" w:sz="0" w:space="0" w:color="auto"/>
        <w:left w:val="none" w:sz="0" w:space="0" w:color="auto"/>
        <w:bottom w:val="none" w:sz="0" w:space="0" w:color="auto"/>
        <w:right w:val="none" w:sz="0" w:space="0" w:color="auto"/>
      </w:divBdr>
    </w:div>
    <w:div w:id="1133017005">
      <w:bodyDiv w:val="1"/>
      <w:marLeft w:val="0"/>
      <w:marRight w:val="0"/>
      <w:marTop w:val="0"/>
      <w:marBottom w:val="0"/>
      <w:divBdr>
        <w:top w:val="none" w:sz="0" w:space="0" w:color="auto"/>
        <w:left w:val="none" w:sz="0" w:space="0" w:color="auto"/>
        <w:bottom w:val="none" w:sz="0" w:space="0" w:color="auto"/>
        <w:right w:val="none" w:sz="0" w:space="0" w:color="auto"/>
      </w:divBdr>
    </w:div>
    <w:div w:id="1144735620">
      <w:bodyDiv w:val="1"/>
      <w:marLeft w:val="0"/>
      <w:marRight w:val="0"/>
      <w:marTop w:val="0"/>
      <w:marBottom w:val="0"/>
      <w:divBdr>
        <w:top w:val="none" w:sz="0" w:space="0" w:color="auto"/>
        <w:left w:val="none" w:sz="0" w:space="0" w:color="auto"/>
        <w:bottom w:val="none" w:sz="0" w:space="0" w:color="auto"/>
        <w:right w:val="none" w:sz="0" w:space="0" w:color="auto"/>
      </w:divBdr>
    </w:div>
    <w:div w:id="1152334373">
      <w:bodyDiv w:val="1"/>
      <w:marLeft w:val="0"/>
      <w:marRight w:val="0"/>
      <w:marTop w:val="0"/>
      <w:marBottom w:val="0"/>
      <w:divBdr>
        <w:top w:val="none" w:sz="0" w:space="0" w:color="auto"/>
        <w:left w:val="none" w:sz="0" w:space="0" w:color="auto"/>
        <w:bottom w:val="none" w:sz="0" w:space="0" w:color="auto"/>
        <w:right w:val="none" w:sz="0" w:space="0" w:color="auto"/>
      </w:divBdr>
    </w:div>
    <w:div w:id="1178232964">
      <w:bodyDiv w:val="1"/>
      <w:marLeft w:val="0"/>
      <w:marRight w:val="0"/>
      <w:marTop w:val="0"/>
      <w:marBottom w:val="0"/>
      <w:divBdr>
        <w:top w:val="none" w:sz="0" w:space="0" w:color="auto"/>
        <w:left w:val="none" w:sz="0" w:space="0" w:color="auto"/>
        <w:bottom w:val="none" w:sz="0" w:space="0" w:color="auto"/>
        <w:right w:val="none" w:sz="0" w:space="0" w:color="auto"/>
      </w:divBdr>
    </w:div>
    <w:div w:id="1186559435">
      <w:bodyDiv w:val="1"/>
      <w:marLeft w:val="0"/>
      <w:marRight w:val="0"/>
      <w:marTop w:val="0"/>
      <w:marBottom w:val="0"/>
      <w:divBdr>
        <w:top w:val="none" w:sz="0" w:space="0" w:color="auto"/>
        <w:left w:val="none" w:sz="0" w:space="0" w:color="auto"/>
        <w:bottom w:val="none" w:sz="0" w:space="0" w:color="auto"/>
        <w:right w:val="none" w:sz="0" w:space="0" w:color="auto"/>
      </w:divBdr>
    </w:div>
    <w:div w:id="1191456983">
      <w:bodyDiv w:val="1"/>
      <w:marLeft w:val="0"/>
      <w:marRight w:val="0"/>
      <w:marTop w:val="0"/>
      <w:marBottom w:val="0"/>
      <w:divBdr>
        <w:top w:val="none" w:sz="0" w:space="0" w:color="auto"/>
        <w:left w:val="none" w:sz="0" w:space="0" w:color="auto"/>
        <w:bottom w:val="none" w:sz="0" w:space="0" w:color="auto"/>
        <w:right w:val="none" w:sz="0" w:space="0" w:color="auto"/>
      </w:divBdr>
    </w:div>
    <w:div w:id="1202396645">
      <w:bodyDiv w:val="1"/>
      <w:marLeft w:val="0"/>
      <w:marRight w:val="0"/>
      <w:marTop w:val="0"/>
      <w:marBottom w:val="0"/>
      <w:divBdr>
        <w:top w:val="none" w:sz="0" w:space="0" w:color="auto"/>
        <w:left w:val="none" w:sz="0" w:space="0" w:color="auto"/>
        <w:bottom w:val="none" w:sz="0" w:space="0" w:color="auto"/>
        <w:right w:val="none" w:sz="0" w:space="0" w:color="auto"/>
      </w:divBdr>
    </w:div>
    <w:div w:id="1207794625">
      <w:bodyDiv w:val="1"/>
      <w:marLeft w:val="0"/>
      <w:marRight w:val="0"/>
      <w:marTop w:val="0"/>
      <w:marBottom w:val="0"/>
      <w:divBdr>
        <w:top w:val="none" w:sz="0" w:space="0" w:color="auto"/>
        <w:left w:val="none" w:sz="0" w:space="0" w:color="auto"/>
        <w:bottom w:val="none" w:sz="0" w:space="0" w:color="auto"/>
        <w:right w:val="none" w:sz="0" w:space="0" w:color="auto"/>
      </w:divBdr>
    </w:div>
    <w:div w:id="1211845758">
      <w:bodyDiv w:val="1"/>
      <w:marLeft w:val="0"/>
      <w:marRight w:val="0"/>
      <w:marTop w:val="0"/>
      <w:marBottom w:val="0"/>
      <w:divBdr>
        <w:top w:val="none" w:sz="0" w:space="0" w:color="auto"/>
        <w:left w:val="none" w:sz="0" w:space="0" w:color="auto"/>
        <w:bottom w:val="none" w:sz="0" w:space="0" w:color="auto"/>
        <w:right w:val="none" w:sz="0" w:space="0" w:color="auto"/>
      </w:divBdr>
    </w:div>
    <w:div w:id="1221164948">
      <w:bodyDiv w:val="1"/>
      <w:marLeft w:val="0"/>
      <w:marRight w:val="0"/>
      <w:marTop w:val="0"/>
      <w:marBottom w:val="0"/>
      <w:divBdr>
        <w:top w:val="none" w:sz="0" w:space="0" w:color="auto"/>
        <w:left w:val="none" w:sz="0" w:space="0" w:color="auto"/>
        <w:bottom w:val="none" w:sz="0" w:space="0" w:color="auto"/>
        <w:right w:val="none" w:sz="0" w:space="0" w:color="auto"/>
      </w:divBdr>
    </w:div>
    <w:div w:id="1226379988">
      <w:bodyDiv w:val="1"/>
      <w:marLeft w:val="0"/>
      <w:marRight w:val="0"/>
      <w:marTop w:val="0"/>
      <w:marBottom w:val="0"/>
      <w:divBdr>
        <w:top w:val="none" w:sz="0" w:space="0" w:color="auto"/>
        <w:left w:val="none" w:sz="0" w:space="0" w:color="auto"/>
        <w:bottom w:val="none" w:sz="0" w:space="0" w:color="auto"/>
        <w:right w:val="none" w:sz="0" w:space="0" w:color="auto"/>
      </w:divBdr>
    </w:div>
    <w:div w:id="1233813448">
      <w:bodyDiv w:val="1"/>
      <w:marLeft w:val="0"/>
      <w:marRight w:val="0"/>
      <w:marTop w:val="0"/>
      <w:marBottom w:val="0"/>
      <w:divBdr>
        <w:top w:val="none" w:sz="0" w:space="0" w:color="auto"/>
        <w:left w:val="none" w:sz="0" w:space="0" w:color="auto"/>
        <w:bottom w:val="none" w:sz="0" w:space="0" w:color="auto"/>
        <w:right w:val="none" w:sz="0" w:space="0" w:color="auto"/>
      </w:divBdr>
    </w:div>
    <w:div w:id="1236429936">
      <w:bodyDiv w:val="1"/>
      <w:marLeft w:val="0"/>
      <w:marRight w:val="0"/>
      <w:marTop w:val="0"/>
      <w:marBottom w:val="0"/>
      <w:divBdr>
        <w:top w:val="none" w:sz="0" w:space="0" w:color="auto"/>
        <w:left w:val="none" w:sz="0" w:space="0" w:color="auto"/>
        <w:bottom w:val="none" w:sz="0" w:space="0" w:color="auto"/>
        <w:right w:val="none" w:sz="0" w:space="0" w:color="auto"/>
      </w:divBdr>
    </w:div>
    <w:div w:id="1242374466">
      <w:bodyDiv w:val="1"/>
      <w:marLeft w:val="0"/>
      <w:marRight w:val="0"/>
      <w:marTop w:val="0"/>
      <w:marBottom w:val="0"/>
      <w:divBdr>
        <w:top w:val="none" w:sz="0" w:space="0" w:color="auto"/>
        <w:left w:val="none" w:sz="0" w:space="0" w:color="auto"/>
        <w:bottom w:val="none" w:sz="0" w:space="0" w:color="auto"/>
        <w:right w:val="none" w:sz="0" w:space="0" w:color="auto"/>
      </w:divBdr>
    </w:div>
    <w:div w:id="1248536544">
      <w:bodyDiv w:val="1"/>
      <w:marLeft w:val="0"/>
      <w:marRight w:val="0"/>
      <w:marTop w:val="0"/>
      <w:marBottom w:val="0"/>
      <w:divBdr>
        <w:top w:val="none" w:sz="0" w:space="0" w:color="auto"/>
        <w:left w:val="none" w:sz="0" w:space="0" w:color="auto"/>
        <w:bottom w:val="none" w:sz="0" w:space="0" w:color="auto"/>
        <w:right w:val="none" w:sz="0" w:space="0" w:color="auto"/>
      </w:divBdr>
    </w:div>
    <w:div w:id="1253395558">
      <w:bodyDiv w:val="1"/>
      <w:marLeft w:val="0"/>
      <w:marRight w:val="0"/>
      <w:marTop w:val="0"/>
      <w:marBottom w:val="0"/>
      <w:divBdr>
        <w:top w:val="none" w:sz="0" w:space="0" w:color="auto"/>
        <w:left w:val="none" w:sz="0" w:space="0" w:color="auto"/>
        <w:bottom w:val="none" w:sz="0" w:space="0" w:color="auto"/>
        <w:right w:val="none" w:sz="0" w:space="0" w:color="auto"/>
      </w:divBdr>
    </w:div>
    <w:div w:id="1282301501">
      <w:bodyDiv w:val="1"/>
      <w:marLeft w:val="0"/>
      <w:marRight w:val="0"/>
      <w:marTop w:val="0"/>
      <w:marBottom w:val="0"/>
      <w:divBdr>
        <w:top w:val="none" w:sz="0" w:space="0" w:color="auto"/>
        <w:left w:val="none" w:sz="0" w:space="0" w:color="auto"/>
        <w:bottom w:val="none" w:sz="0" w:space="0" w:color="auto"/>
        <w:right w:val="none" w:sz="0" w:space="0" w:color="auto"/>
      </w:divBdr>
    </w:div>
    <w:div w:id="1282879873">
      <w:bodyDiv w:val="1"/>
      <w:marLeft w:val="0"/>
      <w:marRight w:val="0"/>
      <w:marTop w:val="0"/>
      <w:marBottom w:val="0"/>
      <w:divBdr>
        <w:top w:val="none" w:sz="0" w:space="0" w:color="auto"/>
        <w:left w:val="none" w:sz="0" w:space="0" w:color="auto"/>
        <w:bottom w:val="none" w:sz="0" w:space="0" w:color="auto"/>
        <w:right w:val="none" w:sz="0" w:space="0" w:color="auto"/>
      </w:divBdr>
    </w:div>
    <w:div w:id="1286351453">
      <w:bodyDiv w:val="1"/>
      <w:marLeft w:val="0"/>
      <w:marRight w:val="0"/>
      <w:marTop w:val="0"/>
      <w:marBottom w:val="0"/>
      <w:divBdr>
        <w:top w:val="none" w:sz="0" w:space="0" w:color="auto"/>
        <w:left w:val="none" w:sz="0" w:space="0" w:color="auto"/>
        <w:bottom w:val="none" w:sz="0" w:space="0" w:color="auto"/>
        <w:right w:val="none" w:sz="0" w:space="0" w:color="auto"/>
      </w:divBdr>
    </w:div>
    <w:div w:id="1290164100">
      <w:bodyDiv w:val="1"/>
      <w:marLeft w:val="0"/>
      <w:marRight w:val="0"/>
      <w:marTop w:val="0"/>
      <w:marBottom w:val="0"/>
      <w:divBdr>
        <w:top w:val="none" w:sz="0" w:space="0" w:color="auto"/>
        <w:left w:val="none" w:sz="0" w:space="0" w:color="auto"/>
        <w:bottom w:val="none" w:sz="0" w:space="0" w:color="auto"/>
        <w:right w:val="none" w:sz="0" w:space="0" w:color="auto"/>
      </w:divBdr>
    </w:div>
    <w:div w:id="1293755558">
      <w:bodyDiv w:val="1"/>
      <w:marLeft w:val="0"/>
      <w:marRight w:val="0"/>
      <w:marTop w:val="0"/>
      <w:marBottom w:val="0"/>
      <w:divBdr>
        <w:top w:val="none" w:sz="0" w:space="0" w:color="auto"/>
        <w:left w:val="none" w:sz="0" w:space="0" w:color="auto"/>
        <w:bottom w:val="none" w:sz="0" w:space="0" w:color="auto"/>
        <w:right w:val="none" w:sz="0" w:space="0" w:color="auto"/>
      </w:divBdr>
    </w:div>
    <w:div w:id="1301769359">
      <w:bodyDiv w:val="1"/>
      <w:marLeft w:val="0"/>
      <w:marRight w:val="0"/>
      <w:marTop w:val="0"/>
      <w:marBottom w:val="0"/>
      <w:divBdr>
        <w:top w:val="none" w:sz="0" w:space="0" w:color="auto"/>
        <w:left w:val="none" w:sz="0" w:space="0" w:color="auto"/>
        <w:bottom w:val="none" w:sz="0" w:space="0" w:color="auto"/>
        <w:right w:val="none" w:sz="0" w:space="0" w:color="auto"/>
      </w:divBdr>
    </w:div>
    <w:div w:id="1331758209">
      <w:bodyDiv w:val="1"/>
      <w:marLeft w:val="0"/>
      <w:marRight w:val="0"/>
      <w:marTop w:val="0"/>
      <w:marBottom w:val="0"/>
      <w:divBdr>
        <w:top w:val="none" w:sz="0" w:space="0" w:color="auto"/>
        <w:left w:val="none" w:sz="0" w:space="0" w:color="auto"/>
        <w:bottom w:val="none" w:sz="0" w:space="0" w:color="auto"/>
        <w:right w:val="none" w:sz="0" w:space="0" w:color="auto"/>
      </w:divBdr>
    </w:div>
    <w:div w:id="1340808752">
      <w:bodyDiv w:val="1"/>
      <w:marLeft w:val="0"/>
      <w:marRight w:val="0"/>
      <w:marTop w:val="0"/>
      <w:marBottom w:val="0"/>
      <w:divBdr>
        <w:top w:val="none" w:sz="0" w:space="0" w:color="auto"/>
        <w:left w:val="none" w:sz="0" w:space="0" w:color="auto"/>
        <w:bottom w:val="none" w:sz="0" w:space="0" w:color="auto"/>
        <w:right w:val="none" w:sz="0" w:space="0" w:color="auto"/>
      </w:divBdr>
    </w:div>
    <w:div w:id="1347437574">
      <w:bodyDiv w:val="1"/>
      <w:marLeft w:val="0"/>
      <w:marRight w:val="0"/>
      <w:marTop w:val="0"/>
      <w:marBottom w:val="0"/>
      <w:divBdr>
        <w:top w:val="none" w:sz="0" w:space="0" w:color="auto"/>
        <w:left w:val="none" w:sz="0" w:space="0" w:color="auto"/>
        <w:bottom w:val="none" w:sz="0" w:space="0" w:color="auto"/>
        <w:right w:val="none" w:sz="0" w:space="0" w:color="auto"/>
      </w:divBdr>
    </w:div>
    <w:div w:id="1364939215">
      <w:bodyDiv w:val="1"/>
      <w:marLeft w:val="0"/>
      <w:marRight w:val="0"/>
      <w:marTop w:val="0"/>
      <w:marBottom w:val="0"/>
      <w:divBdr>
        <w:top w:val="none" w:sz="0" w:space="0" w:color="auto"/>
        <w:left w:val="none" w:sz="0" w:space="0" w:color="auto"/>
        <w:bottom w:val="none" w:sz="0" w:space="0" w:color="auto"/>
        <w:right w:val="none" w:sz="0" w:space="0" w:color="auto"/>
      </w:divBdr>
    </w:div>
    <w:div w:id="1368793729">
      <w:bodyDiv w:val="1"/>
      <w:marLeft w:val="0"/>
      <w:marRight w:val="0"/>
      <w:marTop w:val="0"/>
      <w:marBottom w:val="0"/>
      <w:divBdr>
        <w:top w:val="none" w:sz="0" w:space="0" w:color="auto"/>
        <w:left w:val="none" w:sz="0" w:space="0" w:color="auto"/>
        <w:bottom w:val="none" w:sz="0" w:space="0" w:color="auto"/>
        <w:right w:val="none" w:sz="0" w:space="0" w:color="auto"/>
      </w:divBdr>
    </w:div>
    <w:div w:id="1374034639">
      <w:bodyDiv w:val="1"/>
      <w:marLeft w:val="0"/>
      <w:marRight w:val="0"/>
      <w:marTop w:val="0"/>
      <w:marBottom w:val="0"/>
      <w:divBdr>
        <w:top w:val="none" w:sz="0" w:space="0" w:color="auto"/>
        <w:left w:val="none" w:sz="0" w:space="0" w:color="auto"/>
        <w:bottom w:val="none" w:sz="0" w:space="0" w:color="auto"/>
        <w:right w:val="none" w:sz="0" w:space="0" w:color="auto"/>
      </w:divBdr>
    </w:div>
    <w:div w:id="1379933641">
      <w:bodyDiv w:val="1"/>
      <w:marLeft w:val="0"/>
      <w:marRight w:val="0"/>
      <w:marTop w:val="0"/>
      <w:marBottom w:val="0"/>
      <w:divBdr>
        <w:top w:val="none" w:sz="0" w:space="0" w:color="auto"/>
        <w:left w:val="none" w:sz="0" w:space="0" w:color="auto"/>
        <w:bottom w:val="none" w:sz="0" w:space="0" w:color="auto"/>
        <w:right w:val="none" w:sz="0" w:space="0" w:color="auto"/>
      </w:divBdr>
    </w:div>
    <w:div w:id="1387219047">
      <w:bodyDiv w:val="1"/>
      <w:marLeft w:val="0"/>
      <w:marRight w:val="0"/>
      <w:marTop w:val="0"/>
      <w:marBottom w:val="0"/>
      <w:divBdr>
        <w:top w:val="none" w:sz="0" w:space="0" w:color="auto"/>
        <w:left w:val="none" w:sz="0" w:space="0" w:color="auto"/>
        <w:bottom w:val="none" w:sz="0" w:space="0" w:color="auto"/>
        <w:right w:val="none" w:sz="0" w:space="0" w:color="auto"/>
      </w:divBdr>
    </w:div>
    <w:div w:id="1398090408">
      <w:bodyDiv w:val="1"/>
      <w:marLeft w:val="0"/>
      <w:marRight w:val="0"/>
      <w:marTop w:val="0"/>
      <w:marBottom w:val="0"/>
      <w:divBdr>
        <w:top w:val="none" w:sz="0" w:space="0" w:color="auto"/>
        <w:left w:val="none" w:sz="0" w:space="0" w:color="auto"/>
        <w:bottom w:val="none" w:sz="0" w:space="0" w:color="auto"/>
        <w:right w:val="none" w:sz="0" w:space="0" w:color="auto"/>
      </w:divBdr>
    </w:div>
    <w:div w:id="1402948556">
      <w:bodyDiv w:val="1"/>
      <w:marLeft w:val="0"/>
      <w:marRight w:val="0"/>
      <w:marTop w:val="0"/>
      <w:marBottom w:val="0"/>
      <w:divBdr>
        <w:top w:val="none" w:sz="0" w:space="0" w:color="auto"/>
        <w:left w:val="none" w:sz="0" w:space="0" w:color="auto"/>
        <w:bottom w:val="none" w:sz="0" w:space="0" w:color="auto"/>
        <w:right w:val="none" w:sz="0" w:space="0" w:color="auto"/>
      </w:divBdr>
    </w:div>
    <w:div w:id="1404058406">
      <w:bodyDiv w:val="1"/>
      <w:marLeft w:val="0"/>
      <w:marRight w:val="0"/>
      <w:marTop w:val="0"/>
      <w:marBottom w:val="0"/>
      <w:divBdr>
        <w:top w:val="none" w:sz="0" w:space="0" w:color="auto"/>
        <w:left w:val="none" w:sz="0" w:space="0" w:color="auto"/>
        <w:bottom w:val="none" w:sz="0" w:space="0" w:color="auto"/>
        <w:right w:val="none" w:sz="0" w:space="0" w:color="auto"/>
      </w:divBdr>
    </w:div>
    <w:div w:id="1408073473">
      <w:bodyDiv w:val="1"/>
      <w:marLeft w:val="0"/>
      <w:marRight w:val="0"/>
      <w:marTop w:val="0"/>
      <w:marBottom w:val="0"/>
      <w:divBdr>
        <w:top w:val="none" w:sz="0" w:space="0" w:color="auto"/>
        <w:left w:val="none" w:sz="0" w:space="0" w:color="auto"/>
        <w:bottom w:val="none" w:sz="0" w:space="0" w:color="auto"/>
        <w:right w:val="none" w:sz="0" w:space="0" w:color="auto"/>
      </w:divBdr>
    </w:div>
    <w:div w:id="1411270471">
      <w:bodyDiv w:val="1"/>
      <w:marLeft w:val="0"/>
      <w:marRight w:val="0"/>
      <w:marTop w:val="0"/>
      <w:marBottom w:val="0"/>
      <w:divBdr>
        <w:top w:val="none" w:sz="0" w:space="0" w:color="auto"/>
        <w:left w:val="none" w:sz="0" w:space="0" w:color="auto"/>
        <w:bottom w:val="none" w:sz="0" w:space="0" w:color="auto"/>
        <w:right w:val="none" w:sz="0" w:space="0" w:color="auto"/>
      </w:divBdr>
    </w:div>
    <w:div w:id="1411583017">
      <w:bodyDiv w:val="1"/>
      <w:marLeft w:val="0"/>
      <w:marRight w:val="0"/>
      <w:marTop w:val="0"/>
      <w:marBottom w:val="0"/>
      <w:divBdr>
        <w:top w:val="none" w:sz="0" w:space="0" w:color="auto"/>
        <w:left w:val="none" w:sz="0" w:space="0" w:color="auto"/>
        <w:bottom w:val="none" w:sz="0" w:space="0" w:color="auto"/>
        <w:right w:val="none" w:sz="0" w:space="0" w:color="auto"/>
      </w:divBdr>
    </w:div>
    <w:div w:id="1415324567">
      <w:bodyDiv w:val="1"/>
      <w:marLeft w:val="0"/>
      <w:marRight w:val="0"/>
      <w:marTop w:val="0"/>
      <w:marBottom w:val="0"/>
      <w:divBdr>
        <w:top w:val="none" w:sz="0" w:space="0" w:color="auto"/>
        <w:left w:val="none" w:sz="0" w:space="0" w:color="auto"/>
        <w:bottom w:val="none" w:sz="0" w:space="0" w:color="auto"/>
        <w:right w:val="none" w:sz="0" w:space="0" w:color="auto"/>
      </w:divBdr>
    </w:div>
    <w:div w:id="1424842341">
      <w:bodyDiv w:val="1"/>
      <w:marLeft w:val="0"/>
      <w:marRight w:val="0"/>
      <w:marTop w:val="0"/>
      <w:marBottom w:val="0"/>
      <w:divBdr>
        <w:top w:val="none" w:sz="0" w:space="0" w:color="auto"/>
        <w:left w:val="none" w:sz="0" w:space="0" w:color="auto"/>
        <w:bottom w:val="none" w:sz="0" w:space="0" w:color="auto"/>
        <w:right w:val="none" w:sz="0" w:space="0" w:color="auto"/>
      </w:divBdr>
    </w:div>
    <w:div w:id="1434665488">
      <w:bodyDiv w:val="1"/>
      <w:marLeft w:val="0"/>
      <w:marRight w:val="0"/>
      <w:marTop w:val="0"/>
      <w:marBottom w:val="0"/>
      <w:divBdr>
        <w:top w:val="none" w:sz="0" w:space="0" w:color="auto"/>
        <w:left w:val="none" w:sz="0" w:space="0" w:color="auto"/>
        <w:bottom w:val="none" w:sz="0" w:space="0" w:color="auto"/>
        <w:right w:val="none" w:sz="0" w:space="0" w:color="auto"/>
      </w:divBdr>
    </w:div>
    <w:div w:id="1443576233">
      <w:bodyDiv w:val="1"/>
      <w:marLeft w:val="0"/>
      <w:marRight w:val="0"/>
      <w:marTop w:val="0"/>
      <w:marBottom w:val="0"/>
      <w:divBdr>
        <w:top w:val="none" w:sz="0" w:space="0" w:color="auto"/>
        <w:left w:val="none" w:sz="0" w:space="0" w:color="auto"/>
        <w:bottom w:val="none" w:sz="0" w:space="0" w:color="auto"/>
        <w:right w:val="none" w:sz="0" w:space="0" w:color="auto"/>
      </w:divBdr>
      <w:divsChild>
        <w:div w:id="148985367">
          <w:marLeft w:val="0"/>
          <w:marRight w:val="0"/>
          <w:marTop w:val="0"/>
          <w:marBottom w:val="0"/>
          <w:divBdr>
            <w:top w:val="none" w:sz="0" w:space="0" w:color="auto"/>
            <w:left w:val="none" w:sz="0" w:space="0" w:color="auto"/>
            <w:bottom w:val="none" w:sz="0" w:space="0" w:color="auto"/>
            <w:right w:val="none" w:sz="0" w:space="0" w:color="auto"/>
          </w:divBdr>
          <w:divsChild>
            <w:div w:id="1008100623">
              <w:marLeft w:val="0"/>
              <w:marRight w:val="0"/>
              <w:marTop w:val="0"/>
              <w:marBottom w:val="0"/>
              <w:divBdr>
                <w:top w:val="none" w:sz="0" w:space="0" w:color="auto"/>
                <w:left w:val="none" w:sz="0" w:space="0" w:color="auto"/>
                <w:bottom w:val="none" w:sz="0" w:space="0" w:color="auto"/>
                <w:right w:val="none" w:sz="0" w:space="0" w:color="auto"/>
              </w:divBdr>
            </w:div>
          </w:divsChild>
        </w:div>
        <w:div w:id="543954336">
          <w:marLeft w:val="0"/>
          <w:marRight w:val="0"/>
          <w:marTop w:val="0"/>
          <w:marBottom w:val="0"/>
          <w:divBdr>
            <w:top w:val="none" w:sz="0" w:space="0" w:color="auto"/>
            <w:left w:val="none" w:sz="0" w:space="0" w:color="auto"/>
            <w:bottom w:val="none" w:sz="0" w:space="0" w:color="auto"/>
            <w:right w:val="none" w:sz="0" w:space="0" w:color="auto"/>
          </w:divBdr>
          <w:divsChild>
            <w:div w:id="433015497">
              <w:marLeft w:val="0"/>
              <w:marRight w:val="0"/>
              <w:marTop w:val="0"/>
              <w:marBottom w:val="0"/>
              <w:divBdr>
                <w:top w:val="none" w:sz="0" w:space="0" w:color="auto"/>
                <w:left w:val="none" w:sz="0" w:space="0" w:color="auto"/>
                <w:bottom w:val="none" w:sz="0" w:space="0" w:color="auto"/>
                <w:right w:val="none" w:sz="0" w:space="0" w:color="auto"/>
              </w:divBdr>
            </w:div>
          </w:divsChild>
        </w:div>
        <w:div w:id="1287852371">
          <w:marLeft w:val="0"/>
          <w:marRight w:val="0"/>
          <w:marTop w:val="0"/>
          <w:marBottom w:val="0"/>
          <w:divBdr>
            <w:top w:val="none" w:sz="0" w:space="0" w:color="auto"/>
            <w:left w:val="none" w:sz="0" w:space="0" w:color="auto"/>
            <w:bottom w:val="none" w:sz="0" w:space="0" w:color="auto"/>
            <w:right w:val="none" w:sz="0" w:space="0" w:color="auto"/>
          </w:divBdr>
          <w:divsChild>
            <w:div w:id="6514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921788">
      <w:bodyDiv w:val="1"/>
      <w:marLeft w:val="0"/>
      <w:marRight w:val="0"/>
      <w:marTop w:val="0"/>
      <w:marBottom w:val="0"/>
      <w:divBdr>
        <w:top w:val="none" w:sz="0" w:space="0" w:color="auto"/>
        <w:left w:val="none" w:sz="0" w:space="0" w:color="auto"/>
        <w:bottom w:val="none" w:sz="0" w:space="0" w:color="auto"/>
        <w:right w:val="none" w:sz="0" w:space="0" w:color="auto"/>
      </w:divBdr>
    </w:div>
    <w:div w:id="1459910108">
      <w:bodyDiv w:val="1"/>
      <w:marLeft w:val="0"/>
      <w:marRight w:val="0"/>
      <w:marTop w:val="0"/>
      <w:marBottom w:val="0"/>
      <w:divBdr>
        <w:top w:val="none" w:sz="0" w:space="0" w:color="auto"/>
        <w:left w:val="none" w:sz="0" w:space="0" w:color="auto"/>
        <w:bottom w:val="none" w:sz="0" w:space="0" w:color="auto"/>
        <w:right w:val="none" w:sz="0" w:space="0" w:color="auto"/>
      </w:divBdr>
    </w:div>
    <w:div w:id="1463186890">
      <w:bodyDiv w:val="1"/>
      <w:marLeft w:val="0"/>
      <w:marRight w:val="0"/>
      <w:marTop w:val="0"/>
      <w:marBottom w:val="0"/>
      <w:divBdr>
        <w:top w:val="none" w:sz="0" w:space="0" w:color="auto"/>
        <w:left w:val="none" w:sz="0" w:space="0" w:color="auto"/>
        <w:bottom w:val="none" w:sz="0" w:space="0" w:color="auto"/>
        <w:right w:val="none" w:sz="0" w:space="0" w:color="auto"/>
      </w:divBdr>
    </w:div>
    <w:div w:id="1464881934">
      <w:bodyDiv w:val="1"/>
      <w:marLeft w:val="0"/>
      <w:marRight w:val="0"/>
      <w:marTop w:val="0"/>
      <w:marBottom w:val="0"/>
      <w:divBdr>
        <w:top w:val="none" w:sz="0" w:space="0" w:color="auto"/>
        <w:left w:val="none" w:sz="0" w:space="0" w:color="auto"/>
        <w:bottom w:val="none" w:sz="0" w:space="0" w:color="auto"/>
        <w:right w:val="none" w:sz="0" w:space="0" w:color="auto"/>
      </w:divBdr>
    </w:div>
    <w:div w:id="1471021861">
      <w:bodyDiv w:val="1"/>
      <w:marLeft w:val="0"/>
      <w:marRight w:val="0"/>
      <w:marTop w:val="0"/>
      <w:marBottom w:val="0"/>
      <w:divBdr>
        <w:top w:val="none" w:sz="0" w:space="0" w:color="auto"/>
        <w:left w:val="none" w:sz="0" w:space="0" w:color="auto"/>
        <w:bottom w:val="none" w:sz="0" w:space="0" w:color="auto"/>
        <w:right w:val="none" w:sz="0" w:space="0" w:color="auto"/>
      </w:divBdr>
    </w:div>
    <w:div w:id="1484739989">
      <w:bodyDiv w:val="1"/>
      <w:marLeft w:val="0"/>
      <w:marRight w:val="0"/>
      <w:marTop w:val="0"/>
      <w:marBottom w:val="0"/>
      <w:divBdr>
        <w:top w:val="none" w:sz="0" w:space="0" w:color="auto"/>
        <w:left w:val="none" w:sz="0" w:space="0" w:color="auto"/>
        <w:bottom w:val="none" w:sz="0" w:space="0" w:color="auto"/>
        <w:right w:val="none" w:sz="0" w:space="0" w:color="auto"/>
      </w:divBdr>
    </w:div>
    <w:div w:id="1490288922">
      <w:bodyDiv w:val="1"/>
      <w:marLeft w:val="0"/>
      <w:marRight w:val="0"/>
      <w:marTop w:val="0"/>
      <w:marBottom w:val="0"/>
      <w:divBdr>
        <w:top w:val="none" w:sz="0" w:space="0" w:color="auto"/>
        <w:left w:val="none" w:sz="0" w:space="0" w:color="auto"/>
        <w:bottom w:val="none" w:sz="0" w:space="0" w:color="auto"/>
        <w:right w:val="none" w:sz="0" w:space="0" w:color="auto"/>
      </w:divBdr>
    </w:div>
    <w:div w:id="1490898117">
      <w:bodyDiv w:val="1"/>
      <w:marLeft w:val="0"/>
      <w:marRight w:val="0"/>
      <w:marTop w:val="0"/>
      <w:marBottom w:val="0"/>
      <w:divBdr>
        <w:top w:val="none" w:sz="0" w:space="0" w:color="auto"/>
        <w:left w:val="none" w:sz="0" w:space="0" w:color="auto"/>
        <w:bottom w:val="none" w:sz="0" w:space="0" w:color="auto"/>
        <w:right w:val="none" w:sz="0" w:space="0" w:color="auto"/>
      </w:divBdr>
    </w:div>
    <w:div w:id="1494101205">
      <w:bodyDiv w:val="1"/>
      <w:marLeft w:val="0"/>
      <w:marRight w:val="0"/>
      <w:marTop w:val="0"/>
      <w:marBottom w:val="0"/>
      <w:divBdr>
        <w:top w:val="none" w:sz="0" w:space="0" w:color="auto"/>
        <w:left w:val="none" w:sz="0" w:space="0" w:color="auto"/>
        <w:bottom w:val="none" w:sz="0" w:space="0" w:color="auto"/>
        <w:right w:val="none" w:sz="0" w:space="0" w:color="auto"/>
      </w:divBdr>
    </w:div>
    <w:div w:id="1506478045">
      <w:bodyDiv w:val="1"/>
      <w:marLeft w:val="0"/>
      <w:marRight w:val="0"/>
      <w:marTop w:val="0"/>
      <w:marBottom w:val="0"/>
      <w:divBdr>
        <w:top w:val="none" w:sz="0" w:space="0" w:color="auto"/>
        <w:left w:val="none" w:sz="0" w:space="0" w:color="auto"/>
        <w:bottom w:val="none" w:sz="0" w:space="0" w:color="auto"/>
        <w:right w:val="none" w:sz="0" w:space="0" w:color="auto"/>
      </w:divBdr>
    </w:div>
    <w:div w:id="1533417729">
      <w:bodyDiv w:val="1"/>
      <w:marLeft w:val="0"/>
      <w:marRight w:val="0"/>
      <w:marTop w:val="0"/>
      <w:marBottom w:val="0"/>
      <w:divBdr>
        <w:top w:val="none" w:sz="0" w:space="0" w:color="auto"/>
        <w:left w:val="none" w:sz="0" w:space="0" w:color="auto"/>
        <w:bottom w:val="none" w:sz="0" w:space="0" w:color="auto"/>
        <w:right w:val="none" w:sz="0" w:space="0" w:color="auto"/>
      </w:divBdr>
    </w:div>
    <w:div w:id="1541473609">
      <w:bodyDiv w:val="1"/>
      <w:marLeft w:val="0"/>
      <w:marRight w:val="0"/>
      <w:marTop w:val="0"/>
      <w:marBottom w:val="0"/>
      <w:divBdr>
        <w:top w:val="none" w:sz="0" w:space="0" w:color="auto"/>
        <w:left w:val="none" w:sz="0" w:space="0" w:color="auto"/>
        <w:bottom w:val="none" w:sz="0" w:space="0" w:color="auto"/>
        <w:right w:val="none" w:sz="0" w:space="0" w:color="auto"/>
      </w:divBdr>
    </w:div>
    <w:div w:id="1549027867">
      <w:bodyDiv w:val="1"/>
      <w:marLeft w:val="0"/>
      <w:marRight w:val="0"/>
      <w:marTop w:val="0"/>
      <w:marBottom w:val="0"/>
      <w:divBdr>
        <w:top w:val="none" w:sz="0" w:space="0" w:color="auto"/>
        <w:left w:val="none" w:sz="0" w:space="0" w:color="auto"/>
        <w:bottom w:val="none" w:sz="0" w:space="0" w:color="auto"/>
        <w:right w:val="none" w:sz="0" w:space="0" w:color="auto"/>
      </w:divBdr>
    </w:div>
    <w:div w:id="1550147523">
      <w:bodyDiv w:val="1"/>
      <w:marLeft w:val="0"/>
      <w:marRight w:val="0"/>
      <w:marTop w:val="0"/>
      <w:marBottom w:val="0"/>
      <w:divBdr>
        <w:top w:val="none" w:sz="0" w:space="0" w:color="auto"/>
        <w:left w:val="none" w:sz="0" w:space="0" w:color="auto"/>
        <w:bottom w:val="none" w:sz="0" w:space="0" w:color="auto"/>
        <w:right w:val="none" w:sz="0" w:space="0" w:color="auto"/>
      </w:divBdr>
    </w:div>
    <w:div w:id="1558083305">
      <w:bodyDiv w:val="1"/>
      <w:marLeft w:val="0"/>
      <w:marRight w:val="0"/>
      <w:marTop w:val="0"/>
      <w:marBottom w:val="0"/>
      <w:divBdr>
        <w:top w:val="none" w:sz="0" w:space="0" w:color="auto"/>
        <w:left w:val="none" w:sz="0" w:space="0" w:color="auto"/>
        <w:bottom w:val="none" w:sz="0" w:space="0" w:color="auto"/>
        <w:right w:val="none" w:sz="0" w:space="0" w:color="auto"/>
      </w:divBdr>
    </w:div>
    <w:div w:id="1560700778">
      <w:bodyDiv w:val="1"/>
      <w:marLeft w:val="0"/>
      <w:marRight w:val="0"/>
      <w:marTop w:val="0"/>
      <w:marBottom w:val="0"/>
      <w:divBdr>
        <w:top w:val="none" w:sz="0" w:space="0" w:color="auto"/>
        <w:left w:val="none" w:sz="0" w:space="0" w:color="auto"/>
        <w:bottom w:val="none" w:sz="0" w:space="0" w:color="auto"/>
        <w:right w:val="none" w:sz="0" w:space="0" w:color="auto"/>
      </w:divBdr>
    </w:div>
    <w:div w:id="1566407147">
      <w:bodyDiv w:val="1"/>
      <w:marLeft w:val="0"/>
      <w:marRight w:val="0"/>
      <w:marTop w:val="0"/>
      <w:marBottom w:val="0"/>
      <w:divBdr>
        <w:top w:val="none" w:sz="0" w:space="0" w:color="auto"/>
        <w:left w:val="none" w:sz="0" w:space="0" w:color="auto"/>
        <w:bottom w:val="none" w:sz="0" w:space="0" w:color="auto"/>
        <w:right w:val="none" w:sz="0" w:space="0" w:color="auto"/>
      </w:divBdr>
    </w:div>
    <w:div w:id="1567573260">
      <w:bodyDiv w:val="1"/>
      <w:marLeft w:val="0"/>
      <w:marRight w:val="0"/>
      <w:marTop w:val="0"/>
      <w:marBottom w:val="0"/>
      <w:divBdr>
        <w:top w:val="none" w:sz="0" w:space="0" w:color="auto"/>
        <w:left w:val="none" w:sz="0" w:space="0" w:color="auto"/>
        <w:bottom w:val="none" w:sz="0" w:space="0" w:color="auto"/>
        <w:right w:val="none" w:sz="0" w:space="0" w:color="auto"/>
      </w:divBdr>
    </w:div>
    <w:div w:id="1573925563">
      <w:bodyDiv w:val="1"/>
      <w:marLeft w:val="0"/>
      <w:marRight w:val="0"/>
      <w:marTop w:val="0"/>
      <w:marBottom w:val="0"/>
      <w:divBdr>
        <w:top w:val="none" w:sz="0" w:space="0" w:color="auto"/>
        <w:left w:val="none" w:sz="0" w:space="0" w:color="auto"/>
        <w:bottom w:val="none" w:sz="0" w:space="0" w:color="auto"/>
        <w:right w:val="none" w:sz="0" w:space="0" w:color="auto"/>
      </w:divBdr>
    </w:div>
    <w:div w:id="1583182154">
      <w:bodyDiv w:val="1"/>
      <w:marLeft w:val="0"/>
      <w:marRight w:val="0"/>
      <w:marTop w:val="0"/>
      <w:marBottom w:val="0"/>
      <w:divBdr>
        <w:top w:val="none" w:sz="0" w:space="0" w:color="auto"/>
        <w:left w:val="none" w:sz="0" w:space="0" w:color="auto"/>
        <w:bottom w:val="none" w:sz="0" w:space="0" w:color="auto"/>
        <w:right w:val="none" w:sz="0" w:space="0" w:color="auto"/>
      </w:divBdr>
    </w:div>
    <w:div w:id="1587299579">
      <w:bodyDiv w:val="1"/>
      <w:marLeft w:val="0"/>
      <w:marRight w:val="0"/>
      <w:marTop w:val="0"/>
      <w:marBottom w:val="0"/>
      <w:divBdr>
        <w:top w:val="none" w:sz="0" w:space="0" w:color="auto"/>
        <w:left w:val="none" w:sz="0" w:space="0" w:color="auto"/>
        <w:bottom w:val="none" w:sz="0" w:space="0" w:color="auto"/>
        <w:right w:val="none" w:sz="0" w:space="0" w:color="auto"/>
      </w:divBdr>
    </w:div>
    <w:div w:id="1588686691">
      <w:bodyDiv w:val="1"/>
      <w:marLeft w:val="0"/>
      <w:marRight w:val="0"/>
      <w:marTop w:val="0"/>
      <w:marBottom w:val="0"/>
      <w:divBdr>
        <w:top w:val="none" w:sz="0" w:space="0" w:color="auto"/>
        <w:left w:val="none" w:sz="0" w:space="0" w:color="auto"/>
        <w:bottom w:val="none" w:sz="0" w:space="0" w:color="auto"/>
        <w:right w:val="none" w:sz="0" w:space="0" w:color="auto"/>
      </w:divBdr>
    </w:div>
    <w:div w:id="1604608480">
      <w:bodyDiv w:val="1"/>
      <w:marLeft w:val="0"/>
      <w:marRight w:val="0"/>
      <w:marTop w:val="0"/>
      <w:marBottom w:val="0"/>
      <w:divBdr>
        <w:top w:val="none" w:sz="0" w:space="0" w:color="auto"/>
        <w:left w:val="none" w:sz="0" w:space="0" w:color="auto"/>
        <w:bottom w:val="none" w:sz="0" w:space="0" w:color="auto"/>
        <w:right w:val="none" w:sz="0" w:space="0" w:color="auto"/>
      </w:divBdr>
    </w:div>
    <w:div w:id="1609659795">
      <w:bodyDiv w:val="1"/>
      <w:marLeft w:val="0"/>
      <w:marRight w:val="0"/>
      <w:marTop w:val="0"/>
      <w:marBottom w:val="0"/>
      <w:divBdr>
        <w:top w:val="none" w:sz="0" w:space="0" w:color="auto"/>
        <w:left w:val="none" w:sz="0" w:space="0" w:color="auto"/>
        <w:bottom w:val="none" w:sz="0" w:space="0" w:color="auto"/>
        <w:right w:val="none" w:sz="0" w:space="0" w:color="auto"/>
      </w:divBdr>
    </w:div>
    <w:div w:id="1613126250">
      <w:bodyDiv w:val="1"/>
      <w:marLeft w:val="0"/>
      <w:marRight w:val="0"/>
      <w:marTop w:val="0"/>
      <w:marBottom w:val="0"/>
      <w:divBdr>
        <w:top w:val="none" w:sz="0" w:space="0" w:color="auto"/>
        <w:left w:val="none" w:sz="0" w:space="0" w:color="auto"/>
        <w:bottom w:val="none" w:sz="0" w:space="0" w:color="auto"/>
        <w:right w:val="none" w:sz="0" w:space="0" w:color="auto"/>
      </w:divBdr>
    </w:div>
    <w:div w:id="1613393136">
      <w:bodyDiv w:val="1"/>
      <w:marLeft w:val="0"/>
      <w:marRight w:val="0"/>
      <w:marTop w:val="0"/>
      <w:marBottom w:val="0"/>
      <w:divBdr>
        <w:top w:val="none" w:sz="0" w:space="0" w:color="auto"/>
        <w:left w:val="none" w:sz="0" w:space="0" w:color="auto"/>
        <w:bottom w:val="none" w:sz="0" w:space="0" w:color="auto"/>
        <w:right w:val="none" w:sz="0" w:space="0" w:color="auto"/>
      </w:divBdr>
    </w:div>
    <w:div w:id="1617788795">
      <w:bodyDiv w:val="1"/>
      <w:marLeft w:val="0"/>
      <w:marRight w:val="0"/>
      <w:marTop w:val="0"/>
      <w:marBottom w:val="0"/>
      <w:divBdr>
        <w:top w:val="none" w:sz="0" w:space="0" w:color="auto"/>
        <w:left w:val="none" w:sz="0" w:space="0" w:color="auto"/>
        <w:bottom w:val="none" w:sz="0" w:space="0" w:color="auto"/>
        <w:right w:val="none" w:sz="0" w:space="0" w:color="auto"/>
      </w:divBdr>
    </w:div>
    <w:div w:id="1621378652">
      <w:bodyDiv w:val="1"/>
      <w:marLeft w:val="0"/>
      <w:marRight w:val="0"/>
      <w:marTop w:val="0"/>
      <w:marBottom w:val="0"/>
      <w:divBdr>
        <w:top w:val="none" w:sz="0" w:space="0" w:color="auto"/>
        <w:left w:val="none" w:sz="0" w:space="0" w:color="auto"/>
        <w:bottom w:val="none" w:sz="0" w:space="0" w:color="auto"/>
        <w:right w:val="none" w:sz="0" w:space="0" w:color="auto"/>
      </w:divBdr>
    </w:div>
    <w:div w:id="1623458169">
      <w:bodyDiv w:val="1"/>
      <w:marLeft w:val="0"/>
      <w:marRight w:val="0"/>
      <w:marTop w:val="0"/>
      <w:marBottom w:val="0"/>
      <w:divBdr>
        <w:top w:val="none" w:sz="0" w:space="0" w:color="auto"/>
        <w:left w:val="none" w:sz="0" w:space="0" w:color="auto"/>
        <w:bottom w:val="none" w:sz="0" w:space="0" w:color="auto"/>
        <w:right w:val="none" w:sz="0" w:space="0" w:color="auto"/>
      </w:divBdr>
    </w:div>
    <w:div w:id="1626349539">
      <w:bodyDiv w:val="1"/>
      <w:marLeft w:val="0"/>
      <w:marRight w:val="0"/>
      <w:marTop w:val="0"/>
      <w:marBottom w:val="0"/>
      <w:divBdr>
        <w:top w:val="none" w:sz="0" w:space="0" w:color="auto"/>
        <w:left w:val="none" w:sz="0" w:space="0" w:color="auto"/>
        <w:bottom w:val="none" w:sz="0" w:space="0" w:color="auto"/>
        <w:right w:val="none" w:sz="0" w:space="0" w:color="auto"/>
      </w:divBdr>
    </w:div>
    <w:div w:id="1626809368">
      <w:bodyDiv w:val="1"/>
      <w:marLeft w:val="0"/>
      <w:marRight w:val="0"/>
      <w:marTop w:val="0"/>
      <w:marBottom w:val="0"/>
      <w:divBdr>
        <w:top w:val="none" w:sz="0" w:space="0" w:color="auto"/>
        <w:left w:val="none" w:sz="0" w:space="0" w:color="auto"/>
        <w:bottom w:val="none" w:sz="0" w:space="0" w:color="auto"/>
        <w:right w:val="none" w:sz="0" w:space="0" w:color="auto"/>
      </w:divBdr>
    </w:div>
    <w:div w:id="1632978207">
      <w:bodyDiv w:val="1"/>
      <w:marLeft w:val="0"/>
      <w:marRight w:val="0"/>
      <w:marTop w:val="0"/>
      <w:marBottom w:val="0"/>
      <w:divBdr>
        <w:top w:val="none" w:sz="0" w:space="0" w:color="auto"/>
        <w:left w:val="none" w:sz="0" w:space="0" w:color="auto"/>
        <w:bottom w:val="none" w:sz="0" w:space="0" w:color="auto"/>
        <w:right w:val="none" w:sz="0" w:space="0" w:color="auto"/>
      </w:divBdr>
    </w:div>
    <w:div w:id="1640719298">
      <w:bodyDiv w:val="1"/>
      <w:marLeft w:val="0"/>
      <w:marRight w:val="0"/>
      <w:marTop w:val="0"/>
      <w:marBottom w:val="0"/>
      <w:divBdr>
        <w:top w:val="none" w:sz="0" w:space="0" w:color="auto"/>
        <w:left w:val="none" w:sz="0" w:space="0" w:color="auto"/>
        <w:bottom w:val="none" w:sz="0" w:space="0" w:color="auto"/>
        <w:right w:val="none" w:sz="0" w:space="0" w:color="auto"/>
      </w:divBdr>
    </w:div>
    <w:div w:id="1642149696">
      <w:bodyDiv w:val="1"/>
      <w:marLeft w:val="0"/>
      <w:marRight w:val="0"/>
      <w:marTop w:val="0"/>
      <w:marBottom w:val="0"/>
      <w:divBdr>
        <w:top w:val="none" w:sz="0" w:space="0" w:color="auto"/>
        <w:left w:val="none" w:sz="0" w:space="0" w:color="auto"/>
        <w:bottom w:val="none" w:sz="0" w:space="0" w:color="auto"/>
        <w:right w:val="none" w:sz="0" w:space="0" w:color="auto"/>
      </w:divBdr>
    </w:div>
    <w:div w:id="1645891327">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
    <w:div w:id="1678314455">
      <w:bodyDiv w:val="1"/>
      <w:marLeft w:val="0"/>
      <w:marRight w:val="0"/>
      <w:marTop w:val="0"/>
      <w:marBottom w:val="0"/>
      <w:divBdr>
        <w:top w:val="none" w:sz="0" w:space="0" w:color="auto"/>
        <w:left w:val="none" w:sz="0" w:space="0" w:color="auto"/>
        <w:bottom w:val="none" w:sz="0" w:space="0" w:color="auto"/>
        <w:right w:val="none" w:sz="0" w:space="0" w:color="auto"/>
      </w:divBdr>
    </w:div>
    <w:div w:id="1721828269">
      <w:bodyDiv w:val="1"/>
      <w:marLeft w:val="0"/>
      <w:marRight w:val="0"/>
      <w:marTop w:val="0"/>
      <w:marBottom w:val="0"/>
      <w:divBdr>
        <w:top w:val="none" w:sz="0" w:space="0" w:color="auto"/>
        <w:left w:val="none" w:sz="0" w:space="0" w:color="auto"/>
        <w:bottom w:val="none" w:sz="0" w:space="0" w:color="auto"/>
        <w:right w:val="none" w:sz="0" w:space="0" w:color="auto"/>
      </w:divBdr>
    </w:div>
    <w:div w:id="1724213664">
      <w:bodyDiv w:val="1"/>
      <w:marLeft w:val="0"/>
      <w:marRight w:val="0"/>
      <w:marTop w:val="0"/>
      <w:marBottom w:val="0"/>
      <w:divBdr>
        <w:top w:val="none" w:sz="0" w:space="0" w:color="auto"/>
        <w:left w:val="none" w:sz="0" w:space="0" w:color="auto"/>
        <w:bottom w:val="none" w:sz="0" w:space="0" w:color="auto"/>
        <w:right w:val="none" w:sz="0" w:space="0" w:color="auto"/>
      </w:divBdr>
    </w:div>
    <w:div w:id="1728412376">
      <w:bodyDiv w:val="1"/>
      <w:marLeft w:val="0"/>
      <w:marRight w:val="0"/>
      <w:marTop w:val="0"/>
      <w:marBottom w:val="0"/>
      <w:divBdr>
        <w:top w:val="none" w:sz="0" w:space="0" w:color="auto"/>
        <w:left w:val="none" w:sz="0" w:space="0" w:color="auto"/>
        <w:bottom w:val="none" w:sz="0" w:space="0" w:color="auto"/>
        <w:right w:val="none" w:sz="0" w:space="0" w:color="auto"/>
      </w:divBdr>
    </w:div>
    <w:div w:id="1746225045">
      <w:bodyDiv w:val="1"/>
      <w:marLeft w:val="0"/>
      <w:marRight w:val="0"/>
      <w:marTop w:val="0"/>
      <w:marBottom w:val="0"/>
      <w:divBdr>
        <w:top w:val="none" w:sz="0" w:space="0" w:color="auto"/>
        <w:left w:val="none" w:sz="0" w:space="0" w:color="auto"/>
        <w:bottom w:val="none" w:sz="0" w:space="0" w:color="auto"/>
        <w:right w:val="none" w:sz="0" w:space="0" w:color="auto"/>
      </w:divBdr>
    </w:div>
    <w:div w:id="1755199432">
      <w:bodyDiv w:val="1"/>
      <w:marLeft w:val="0"/>
      <w:marRight w:val="0"/>
      <w:marTop w:val="0"/>
      <w:marBottom w:val="0"/>
      <w:divBdr>
        <w:top w:val="none" w:sz="0" w:space="0" w:color="auto"/>
        <w:left w:val="none" w:sz="0" w:space="0" w:color="auto"/>
        <w:bottom w:val="none" w:sz="0" w:space="0" w:color="auto"/>
        <w:right w:val="none" w:sz="0" w:space="0" w:color="auto"/>
      </w:divBdr>
    </w:div>
    <w:div w:id="1758870128">
      <w:bodyDiv w:val="1"/>
      <w:marLeft w:val="0"/>
      <w:marRight w:val="0"/>
      <w:marTop w:val="0"/>
      <w:marBottom w:val="0"/>
      <w:divBdr>
        <w:top w:val="none" w:sz="0" w:space="0" w:color="auto"/>
        <w:left w:val="none" w:sz="0" w:space="0" w:color="auto"/>
        <w:bottom w:val="none" w:sz="0" w:space="0" w:color="auto"/>
        <w:right w:val="none" w:sz="0" w:space="0" w:color="auto"/>
      </w:divBdr>
    </w:div>
    <w:div w:id="1759477082">
      <w:bodyDiv w:val="1"/>
      <w:marLeft w:val="0"/>
      <w:marRight w:val="0"/>
      <w:marTop w:val="0"/>
      <w:marBottom w:val="0"/>
      <w:divBdr>
        <w:top w:val="none" w:sz="0" w:space="0" w:color="auto"/>
        <w:left w:val="none" w:sz="0" w:space="0" w:color="auto"/>
        <w:bottom w:val="none" w:sz="0" w:space="0" w:color="auto"/>
        <w:right w:val="none" w:sz="0" w:space="0" w:color="auto"/>
      </w:divBdr>
    </w:div>
    <w:div w:id="1766069199">
      <w:bodyDiv w:val="1"/>
      <w:marLeft w:val="0"/>
      <w:marRight w:val="0"/>
      <w:marTop w:val="0"/>
      <w:marBottom w:val="0"/>
      <w:divBdr>
        <w:top w:val="none" w:sz="0" w:space="0" w:color="auto"/>
        <w:left w:val="none" w:sz="0" w:space="0" w:color="auto"/>
        <w:bottom w:val="none" w:sz="0" w:space="0" w:color="auto"/>
        <w:right w:val="none" w:sz="0" w:space="0" w:color="auto"/>
      </w:divBdr>
    </w:div>
    <w:div w:id="1768573661">
      <w:bodyDiv w:val="1"/>
      <w:marLeft w:val="0"/>
      <w:marRight w:val="0"/>
      <w:marTop w:val="0"/>
      <w:marBottom w:val="0"/>
      <w:divBdr>
        <w:top w:val="none" w:sz="0" w:space="0" w:color="auto"/>
        <w:left w:val="none" w:sz="0" w:space="0" w:color="auto"/>
        <w:bottom w:val="none" w:sz="0" w:space="0" w:color="auto"/>
        <w:right w:val="none" w:sz="0" w:space="0" w:color="auto"/>
      </w:divBdr>
    </w:div>
    <w:div w:id="1769083970">
      <w:bodyDiv w:val="1"/>
      <w:marLeft w:val="0"/>
      <w:marRight w:val="0"/>
      <w:marTop w:val="0"/>
      <w:marBottom w:val="0"/>
      <w:divBdr>
        <w:top w:val="none" w:sz="0" w:space="0" w:color="auto"/>
        <w:left w:val="none" w:sz="0" w:space="0" w:color="auto"/>
        <w:bottom w:val="none" w:sz="0" w:space="0" w:color="auto"/>
        <w:right w:val="none" w:sz="0" w:space="0" w:color="auto"/>
      </w:divBdr>
    </w:div>
    <w:div w:id="1778402545">
      <w:bodyDiv w:val="1"/>
      <w:marLeft w:val="0"/>
      <w:marRight w:val="0"/>
      <w:marTop w:val="0"/>
      <w:marBottom w:val="0"/>
      <w:divBdr>
        <w:top w:val="none" w:sz="0" w:space="0" w:color="auto"/>
        <w:left w:val="none" w:sz="0" w:space="0" w:color="auto"/>
        <w:bottom w:val="none" w:sz="0" w:space="0" w:color="auto"/>
        <w:right w:val="none" w:sz="0" w:space="0" w:color="auto"/>
      </w:divBdr>
    </w:div>
    <w:div w:id="1781414291">
      <w:bodyDiv w:val="1"/>
      <w:marLeft w:val="0"/>
      <w:marRight w:val="0"/>
      <w:marTop w:val="0"/>
      <w:marBottom w:val="0"/>
      <w:divBdr>
        <w:top w:val="none" w:sz="0" w:space="0" w:color="auto"/>
        <w:left w:val="none" w:sz="0" w:space="0" w:color="auto"/>
        <w:bottom w:val="none" w:sz="0" w:space="0" w:color="auto"/>
        <w:right w:val="none" w:sz="0" w:space="0" w:color="auto"/>
      </w:divBdr>
    </w:div>
    <w:div w:id="1793599064">
      <w:bodyDiv w:val="1"/>
      <w:marLeft w:val="0"/>
      <w:marRight w:val="0"/>
      <w:marTop w:val="0"/>
      <w:marBottom w:val="0"/>
      <w:divBdr>
        <w:top w:val="none" w:sz="0" w:space="0" w:color="auto"/>
        <w:left w:val="none" w:sz="0" w:space="0" w:color="auto"/>
        <w:bottom w:val="none" w:sz="0" w:space="0" w:color="auto"/>
        <w:right w:val="none" w:sz="0" w:space="0" w:color="auto"/>
      </w:divBdr>
    </w:div>
    <w:div w:id="1799840132">
      <w:bodyDiv w:val="1"/>
      <w:marLeft w:val="0"/>
      <w:marRight w:val="0"/>
      <w:marTop w:val="0"/>
      <w:marBottom w:val="0"/>
      <w:divBdr>
        <w:top w:val="none" w:sz="0" w:space="0" w:color="auto"/>
        <w:left w:val="none" w:sz="0" w:space="0" w:color="auto"/>
        <w:bottom w:val="none" w:sz="0" w:space="0" w:color="auto"/>
        <w:right w:val="none" w:sz="0" w:space="0" w:color="auto"/>
      </w:divBdr>
    </w:div>
    <w:div w:id="1805274759">
      <w:bodyDiv w:val="1"/>
      <w:marLeft w:val="0"/>
      <w:marRight w:val="0"/>
      <w:marTop w:val="0"/>
      <w:marBottom w:val="0"/>
      <w:divBdr>
        <w:top w:val="none" w:sz="0" w:space="0" w:color="auto"/>
        <w:left w:val="none" w:sz="0" w:space="0" w:color="auto"/>
        <w:bottom w:val="none" w:sz="0" w:space="0" w:color="auto"/>
        <w:right w:val="none" w:sz="0" w:space="0" w:color="auto"/>
      </w:divBdr>
    </w:div>
    <w:div w:id="1810124262">
      <w:bodyDiv w:val="1"/>
      <w:marLeft w:val="0"/>
      <w:marRight w:val="0"/>
      <w:marTop w:val="0"/>
      <w:marBottom w:val="0"/>
      <w:divBdr>
        <w:top w:val="none" w:sz="0" w:space="0" w:color="auto"/>
        <w:left w:val="none" w:sz="0" w:space="0" w:color="auto"/>
        <w:bottom w:val="none" w:sz="0" w:space="0" w:color="auto"/>
        <w:right w:val="none" w:sz="0" w:space="0" w:color="auto"/>
      </w:divBdr>
    </w:div>
    <w:div w:id="1811171081">
      <w:bodyDiv w:val="1"/>
      <w:marLeft w:val="0"/>
      <w:marRight w:val="0"/>
      <w:marTop w:val="0"/>
      <w:marBottom w:val="0"/>
      <w:divBdr>
        <w:top w:val="none" w:sz="0" w:space="0" w:color="auto"/>
        <w:left w:val="none" w:sz="0" w:space="0" w:color="auto"/>
        <w:bottom w:val="none" w:sz="0" w:space="0" w:color="auto"/>
        <w:right w:val="none" w:sz="0" w:space="0" w:color="auto"/>
      </w:divBdr>
    </w:div>
    <w:div w:id="1815291026">
      <w:bodyDiv w:val="1"/>
      <w:marLeft w:val="0"/>
      <w:marRight w:val="0"/>
      <w:marTop w:val="0"/>
      <w:marBottom w:val="0"/>
      <w:divBdr>
        <w:top w:val="none" w:sz="0" w:space="0" w:color="auto"/>
        <w:left w:val="none" w:sz="0" w:space="0" w:color="auto"/>
        <w:bottom w:val="none" w:sz="0" w:space="0" w:color="auto"/>
        <w:right w:val="none" w:sz="0" w:space="0" w:color="auto"/>
      </w:divBdr>
    </w:div>
    <w:div w:id="1822499094">
      <w:bodyDiv w:val="1"/>
      <w:marLeft w:val="0"/>
      <w:marRight w:val="0"/>
      <w:marTop w:val="0"/>
      <w:marBottom w:val="0"/>
      <w:divBdr>
        <w:top w:val="none" w:sz="0" w:space="0" w:color="auto"/>
        <w:left w:val="none" w:sz="0" w:space="0" w:color="auto"/>
        <w:bottom w:val="none" w:sz="0" w:space="0" w:color="auto"/>
        <w:right w:val="none" w:sz="0" w:space="0" w:color="auto"/>
      </w:divBdr>
    </w:div>
    <w:div w:id="1827820532">
      <w:bodyDiv w:val="1"/>
      <w:marLeft w:val="0"/>
      <w:marRight w:val="0"/>
      <w:marTop w:val="0"/>
      <w:marBottom w:val="0"/>
      <w:divBdr>
        <w:top w:val="none" w:sz="0" w:space="0" w:color="auto"/>
        <w:left w:val="none" w:sz="0" w:space="0" w:color="auto"/>
        <w:bottom w:val="none" w:sz="0" w:space="0" w:color="auto"/>
        <w:right w:val="none" w:sz="0" w:space="0" w:color="auto"/>
      </w:divBdr>
    </w:div>
    <w:div w:id="1836994817">
      <w:bodyDiv w:val="1"/>
      <w:marLeft w:val="0"/>
      <w:marRight w:val="0"/>
      <w:marTop w:val="0"/>
      <w:marBottom w:val="0"/>
      <w:divBdr>
        <w:top w:val="none" w:sz="0" w:space="0" w:color="auto"/>
        <w:left w:val="none" w:sz="0" w:space="0" w:color="auto"/>
        <w:bottom w:val="none" w:sz="0" w:space="0" w:color="auto"/>
        <w:right w:val="none" w:sz="0" w:space="0" w:color="auto"/>
      </w:divBdr>
    </w:div>
    <w:div w:id="1838766860">
      <w:bodyDiv w:val="1"/>
      <w:marLeft w:val="0"/>
      <w:marRight w:val="0"/>
      <w:marTop w:val="0"/>
      <w:marBottom w:val="0"/>
      <w:divBdr>
        <w:top w:val="none" w:sz="0" w:space="0" w:color="auto"/>
        <w:left w:val="none" w:sz="0" w:space="0" w:color="auto"/>
        <w:bottom w:val="none" w:sz="0" w:space="0" w:color="auto"/>
        <w:right w:val="none" w:sz="0" w:space="0" w:color="auto"/>
      </w:divBdr>
    </w:div>
    <w:div w:id="1848207921">
      <w:bodyDiv w:val="1"/>
      <w:marLeft w:val="0"/>
      <w:marRight w:val="0"/>
      <w:marTop w:val="0"/>
      <w:marBottom w:val="0"/>
      <w:divBdr>
        <w:top w:val="none" w:sz="0" w:space="0" w:color="auto"/>
        <w:left w:val="none" w:sz="0" w:space="0" w:color="auto"/>
        <w:bottom w:val="none" w:sz="0" w:space="0" w:color="auto"/>
        <w:right w:val="none" w:sz="0" w:space="0" w:color="auto"/>
      </w:divBdr>
    </w:div>
    <w:div w:id="1856266327">
      <w:bodyDiv w:val="1"/>
      <w:marLeft w:val="0"/>
      <w:marRight w:val="0"/>
      <w:marTop w:val="0"/>
      <w:marBottom w:val="0"/>
      <w:divBdr>
        <w:top w:val="none" w:sz="0" w:space="0" w:color="auto"/>
        <w:left w:val="none" w:sz="0" w:space="0" w:color="auto"/>
        <w:bottom w:val="none" w:sz="0" w:space="0" w:color="auto"/>
        <w:right w:val="none" w:sz="0" w:space="0" w:color="auto"/>
      </w:divBdr>
    </w:div>
    <w:div w:id="1859267814">
      <w:bodyDiv w:val="1"/>
      <w:marLeft w:val="0"/>
      <w:marRight w:val="0"/>
      <w:marTop w:val="0"/>
      <w:marBottom w:val="0"/>
      <w:divBdr>
        <w:top w:val="none" w:sz="0" w:space="0" w:color="auto"/>
        <w:left w:val="none" w:sz="0" w:space="0" w:color="auto"/>
        <w:bottom w:val="none" w:sz="0" w:space="0" w:color="auto"/>
        <w:right w:val="none" w:sz="0" w:space="0" w:color="auto"/>
      </w:divBdr>
    </w:div>
    <w:div w:id="1859584738">
      <w:bodyDiv w:val="1"/>
      <w:marLeft w:val="0"/>
      <w:marRight w:val="0"/>
      <w:marTop w:val="0"/>
      <w:marBottom w:val="0"/>
      <w:divBdr>
        <w:top w:val="none" w:sz="0" w:space="0" w:color="auto"/>
        <w:left w:val="none" w:sz="0" w:space="0" w:color="auto"/>
        <w:bottom w:val="none" w:sz="0" w:space="0" w:color="auto"/>
        <w:right w:val="none" w:sz="0" w:space="0" w:color="auto"/>
      </w:divBdr>
    </w:div>
    <w:div w:id="1860510881">
      <w:bodyDiv w:val="1"/>
      <w:marLeft w:val="0"/>
      <w:marRight w:val="0"/>
      <w:marTop w:val="0"/>
      <w:marBottom w:val="0"/>
      <w:divBdr>
        <w:top w:val="none" w:sz="0" w:space="0" w:color="auto"/>
        <w:left w:val="none" w:sz="0" w:space="0" w:color="auto"/>
        <w:bottom w:val="none" w:sz="0" w:space="0" w:color="auto"/>
        <w:right w:val="none" w:sz="0" w:space="0" w:color="auto"/>
      </w:divBdr>
    </w:div>
    <w:div w:id="1861553540">
      <w:bodyDiv w:val="1"/>
      <w:marLeft w:val="0"/>
      <w:marRight w:val="0"/>
      <w:marTop w:val="0"/>
      <w:marBottom w:val="0"/>
      <w:divBdr>
        <w:top w:val="none" w:sz="0" w:space="0" w:color="auto"/>
        <w:left w:val="none" w:sz="0" w:space="0" w:color="auto"/>
        <w:bottom w:val="none" w:sz="0" w:space="0" w:color="auto"/>
        <w:right w:val="none" w:sz="0" w:space="0" w:color="auto"/>
      </w:divBdr>
    </w:div>
    <w:div w:id="1884053526">
      <w:bodyDiv w:val="1"/>
      <w:marLeft w:val="0"/>
      <w:marRight w:val="0"/>
      <w:marTop w:val="0"/>
      <w:marBottom w:val="0"/>
      <w:divBdr>
        <w:top w:val="none" w:sz="0" w:space="0" w:color="auto"/>
        <w:left w:val="none" w:sz="0" w:space="0" w:color="auto"/>
        <w:bottom w:val="none" w:sz="0" w:space="0" w:color="auto"/>
        <w:right w:val="none" w:sz="0" w:space="0" w:color="auto"/>
      </w:divBdr>
    </w:div>
    <w:div w:id="1887908049">
      <w:bodyDiv w:val="1"/>
      <w:marLeft w:val="0"/>
      <w:marRight w:val="0"/>
      <w:marTop w:val="0"/>
      <w:marBottom w:val="0"/>
      <w:divBdr>
        <w:top w:val="none" w:sz="0" w:space="0" w:color="auto"/>
        <w:left w:val="none" w:sz="0" w:space="0" w:color="auto"/>
        <w:bottom w:val="none" w:sz="0" w:space="0" w:color="auto"/>
        <w:right w:val="none" w:sz="0" w:space="0" w:color="auto"/>
      </w:divBdr>
    </w:div>
    <w:div w:id="1889416069">
      <w:bodyDiv w:val="1"/>
      <w:marLeft w:val="0"/>
      <w:marRight w:val="0"/>
      <w:marTop w:val="0"/>
      <w:marBottom w:val="0"/>
      <w:divBdr>
        <w:top w:val="none" w:sz="0" w:space="0" w:color="auto"/>
        <w:left w:val="none" w:sz="0" w:space="0" w:color="auto"/>
        <w:bottom w:val="none" w:sz="0" w:space="0" w:color="auto"/>
        <w:right w:val="none" w:sz="0" w:space="0" w:color="auto"/>
      </w:divBdr>
    </w:div>
    <w:div w:id="1889685909">
      <w:bodyDiv w:val="1"/>
      <w:marLeft w:val="0"/>
      <w:marRight w:val="0"/>
      <w:marTop w:val="0"/>
      <w:marBottom w:val="0"/>
      <w:divBdr>
        <w:top w:val="none" w:sz="0" w:space="0" w:color="auto"/>
        <w:left w:val="none" w:sz="0" w:space="0" w:color="auto"/>
        <w:bottom w:val="none" w:sz="0" w:space="0" w:color="auto"/>
        <w:right w:val="none" w:sz="0" w:space="0" w:color="auto"/>
      </w:divBdr>
    </w:div>
    <w:div w:id="1890921858">
      <w:bodyDiv w:val="1"/>
      <w:marLeft w:val="0"/>
      <w:marRight w:val="0"/>
      <w:marTop w:val="0"/>
      <w:marBottom w:val="0"/>
      <w:divBdr>
        <w:top w:val="none" w:sz="0" w:space="0" w:color="auto"/>
        <w:left w:val="none" w:sz="0" w:space="0" w:color="auto"/>
        <w:bottom w:val="none" w:sz="0" w:space="0" w:color="auto"/>
        <w:right w:val="none" w:sz="0" w:space="0" w:color="auto"/>
      </w:divBdr>
    </w:div>
    <w:div w:id="1893421718">
      <w:bodyDiv w:val="1"/>
      <w:marLeft w:val="0"/>
      <w:marRight w:val="0"/>
      <w:marTop w:val="0"/>
      <w:marBottom w:val="0"/>
      <w:divBdr>
        <w:top w:val="none" w:sz="0" w:space="0" w:color="auto"/>
        <w:left w:val="none" w:sz="0" w:space="0" w:color="auto"/>
        <w:bottom w:val="none" w:sz="0" w:space="0" w:color="auto"/>
        <w:right w:val="none" w:sz="0" w:space="0" w:color="auto"/>
      </w:divBdr>
    </w:div>
    <w:div w:id="1894194952">
      <w:bodyDiv w:val="1"/>
      <w:marLeft w:val="0"/>
      <w:marRight w:val="0"/>
      <w:marTop w:val="0"/>
      <w:marBottom w:val="0"/>
      <w:divBdr>
        <w:top w:val="none" w:sz="0" w:space="0" w:color="auto"/>
        <w:left w:val="none" w:sz="0" w:space="0" w:color="auto"/>
        <w:bottom w:val="none" w:sz="0" w:space="0" w:color="auto"/>
        <w:right w:val="none" w:sz="0" w:space="0" w:color="auto"/>
      </w:divBdr>
    </w:div>
    <w:div w:id="1900020953">
      <w:bodyDiv w:val="1"/>
      <w:marLeft w:val="0"/>
      <w:marRight w:val="0"/>
      <w:marTop w:val="0"/>
      <w:marBottom w:val="0"/>
      <w:divBdr>
        <w:top w:val="none" w:sz="0" w:space="0" w:color="auto"/>
        <w:left w:val="none" w:sz="0" w:space="0" w:color="auto"/>
        <w:bottom w:val="none" w:sz="0" w:space="0" w:color="auto"/>
        <w:right w:val="none" w:sz="0" w:space="0" w:color="auto"/>
      </w:divBdr>
    </w:div>
    <w:div w:id="1900432544">
      <w:bodyDiv w:val="1"/>
      <w:marLeft w:val="0"/>
      <w:marRight w:val="0"/>
      <w:marTop w:val="0"/>
      <w:marBottom w:val="0"/>
      <w:divBdr>
        <w:top w:val="none" w:sz="0" w:space="0" w:color="auto"/>
        <w:left w:val="none" w:sz="0" w:space="0" w:color="auto"/>
        <w:bottom w:val="none" w:sz="0" w:space="0" w:color="auto"/>
        <w:right w:val="none" w:sz="0" w:space="0" w:color="auto"/>
      </w:divBdr>
    </w:div>
    <w:div w:id="1915040455">
      <w:bodyDiv w:val="1"/>
      <w:marLeft w:val="0"/>
      <w:marRight w:val="0"/>
      <w:marTop w:val="0"/>
      <w:marBottom w:val="0"/>
      <w:divBdr>
        <w:top w:val="none" w:sz="0" w:space="0" w:color="auto"/>
        <w:left w:val="none" w:sz="0" w:space="0" w:color="auto"/>
        <w:bottom w:val="none" w:sz="0" w:space="0" w:color="auto"/>
        <w:right w:val="none" w:sz="0" w:space="0" w:color="auto"/>
      </w:divBdr>
    </w:div>
    <w:div w:id="1921677644">
      <w:bodyDiv w:val="1"/>
      <w:marLeft w:val="0"/>
      <w:marRight w:val="0"/>
      <w:marTop w:val="0"/>
      <w:marBottom w:val="0"/>
      <w:divBdr>
        <w:top w:val="none" w:sz="0" w:space="0" w:color="auto"/>
        <w:left w:val="none" w:sz="0" w:space="0" w:color="auto"/>
        <w:bottom w:val="none" w:sz="0" w:space="0" w:color="auto"/>
        <w:right w:val="none" w:sz="0" w:space="0" w:color="auto"/>
      </w:divBdr>
    </w:div>
    <w:div w:id="1923294753">
      <w:bodyDiv w:val="1"/>
      <w:marLeft w:val="0"/>
      <w:marRight w:val="0"/>
      <w:marTop w:val="0"/>
      <w:marBottom w:val="0"/>
      <w:divBdr>
        <w:top w:val="none" w:sz="0" w:space="0" w:color="auto"/>
        <w:left w:val="none" w:sz="0" w:space="0" w:color="auto"/>
        <w:bottom w:val="none" w:sz="0" w:space="0" w:color="auto"/>
        <w:right w:val="none" w:sz="0" w:space="0" w:color="auto"/>
      </w:divBdr>
    </w:div>
    <w:div w:id="1934313997">
      <w:bodyDiv w:val="1"/>
      <w:marLeft w:val="0"/>
      <w:marRight w:val="0"/>
      <w:marTop w:val="0"/>
      <w:marBottom w:val="0"/>
      <w:divBdr>
        <w:top w:val="none" w:sz="0" w:space="0" w:color="auto"/>
        <w:left w:val="none" w:sz="0" w:space="0" w:color="auto"/>
        <w:bottom w:val="none" w:sz="0" w:space="0" w:color="auto"/>
        <w:right w:val="none" w:sz="0" w:space="0" w:color="auto"/>
      </w:divBdr>
    </w:div>
    <w:div w:id="1937905899">
      <w:bodyDiv w:val="1"/>
      <w:marLeft w:val="0"/>
      <w:marRight w:val="0"/>
      <w:marTop w:val="0"/>
      <w:marBottom w:val="0"/>
      <w:divBdr>
        <w:top w:val="none" w:sz="0" w:space="0" w:color="auto"/>
        <w:left w:val="none" w:sz="0" w:space="0" w:color="auto"/>
        <w:bottom w:val="none" w:sz="0" w:space="0" w:color="auto"/>
        <w:right w:val="none" w:sz="0" w:space="0" w:color="auto"/>
      </w:divBdr>
    </w:div>
    <w:div w:id="1940794052">
      <w:bodyDiv w:val="1"/>
      <w:marLeft w:val="0"/>
      <w:marRight w:val="0"/>
      <w:marTop w:val="0"/>
      <w:marBottom w:val="0"/>
      <w:divBdr>
        <w:top w:val="none" w:sz="0" w:space="0" w:color="auto"/>
        <w:left w:val="none" w:sz="0" w:space="0" w:color="auto"/>
        <w:bottom w:val="none" w:sz="0" w:space="0" w:color="auto"/>
        <w:right w:val="none" w:sz="0" w:space="0" w:color="auto"/>
      </w:divBdr>
    </w:div>
    <w:div w:id="1951282818">
      <w:bodyDiv w:val="1"/>
      <w:marLeft w:val="0"/>
      <w:marRight w:val="0"/>
      <w:marTop w:val="0"/>
      <w:marBottom w:val="0"/>
      <w:divBdr>
        <w:top w:val="none" w:sz="0" w:space="0" w:color="auto"/>
        <w:left w:val="none" w:sz="0" w:space="0" w:color="auto"/>
        <w:bottom w:val="none" w:sz="0" w:space="0" w:color="auto"/>
        <w:right w:val="none" w:sz="0" w:space="0" w:color="auto"/>
      </w:divBdr>
    </w:div>
    <w:div w:id="1964773152">
      <w:bodyDiv w:val="1"/>
      <w:marLeft w:val="0"/>
      <w:marRight w:val="0"/>
      <w:marTop w:val="0"/>
      <w:marBottom w:val="0"/>
      <w:divBdr>
        <w:top w:val="none" w:sz="0" w:space="0" w:color="auto"/>
        <w:left w:val="none" w:sz="0" w:space="0" w:color="auto"/>
        <w:bottom w:val="none" w:sz="0" w:space="0" w:color="auto"/>
        <w:right w:val="none" w:sz="0" w:space="0" w:color="auto"/>
      </w:divBdr>
    </w:div>
    <w:div w:id="1964923281">
      <w:bodyDiv w:val="1"/>
      <w:marLeft w:val="0"/>
      <w:marRight w:val="0"/>
      <w:marTop w:val="0"/>
      <w:marBottom w:val="0"/>
      <w:divBdr>
        <w:top w:val="none" w:sz="0" w:space="0" w:color="auto"/>
        <w:left w:val="none" w:sz="0" w:space="0" w:color="auto"/>
        <w:bottom w:val="none" w:sz="0" w:space="0" w:color="auto"/>
        <w:right w:val="none" w:sz="0" w:space="0" w:color="auto"/>
      </w:divBdr>
    </w:div>
    <w:div w:id="1966306098">
      <w:bodyDiv w:val="1"/>
      <w:marLeft w:val="0"/>
      <w:marRight w:val="0"/>
      <w:marTop w:val="0"/>
      <w:marBottom w:val="0"/>
      <w:divBdr>
        <w:top w:val="none" w:sz="0" w:space="0" w:color="auto"/>
        <w:left w:val="none" w:sz="0" w:space="0" w:color="auto"/>
        <w:bottom w:val="none" w:sz="0" w:space="0" w:color="auto"/>
        <w:right w:val="none" w:sz="0" w:space="0" w:color="auto"/>
      </w:divBdr>
    </w:div>
    <w:div w:id="1967008972">
      <w:bodyDiv w:val="1"/>
      <w:marLeft w:val="0"/>
      <w:marRight w:val="0"/>
      <w:marTop w:val="0"/>
      <w:marBottom w:val="0"/>
      <w:divBdr>
        <w:top w:val="none" w:sz="0" w:space="0" w:color="auto"/>
        <w:left w:val="none" w:sz="0" w:space="0" w:color="auto"/>
        <w:bottom w:val="none" w:sz="0" w:space="0" w:color="auto"/>
        <w:right w:val="none" w:sz="0" w:space="0" w:color="auto"/>
      </w:divBdr>
      <w:divsChild>
        <w:div w:id="1236091442">
          <w:marLeft w:val="0"/>
          <w:marRight w:val="0"/>
          <w:marTop w:val="0"/>
          <w:marBottom w:val="0"/>
          <w:divBdr>
            <w:top w:val="none" w:sz="0" w:space="0" w:color="auto"/>
            <w:left w:val="none" w:sz="0" w:space="0" w:color="auto"/>
            <w:bottom w:val="none" w:sz="0" w:space="0" w:color="auto"/>
            <w:right w:val="none" w:sz="0" w:space="0" w:color="auto"/>
          </w:divBdr>
          <w:divsChild>
            <w:div w:id="924604784">
              <w:marLeft w:val="0"/>
              <w:marRight w:val="0"/>
              <w:marTop w:val="0"/>
              <w:marBottom w:val="0"/>
              <w:divBdr>
                <w:top w:val="none" w:sz="0" w:space="0" w:color="auto"/>
                <w:left w:val="none" w:sz="0" w:space="0" w:color="auto"/>
                <w:bottom w:val="none" w:sz="0" w:space="0" w:color="auto"/>
                <w:right w:val="none" w:sz="0" w:space="0" w:color="auto"/>
              </w:divBdr>
            </w:div>
          </w:divsChild>
        </w:div>
        <w:div w:id="1511137549">
          <w:marLeft w:val="0"/>
          <w:marRight w:val="0"/>
          <w:marTop w:val="0"/>
          <w:marBottom w:val="0"/>
          <w:divBdr>
            <w:top w:val="none" w:sz="0" w:space="0" w:color="auto"/>
            <w:left w:val="none" w:sz="0" w:space="0" w:color="auto"/>
            <w:bottom w:val="none" w:sz="0" w:space="0" w:color="auto"/>
            <w:right w:val="none" w:sz="0" w:space="0" w:color="auto"/>
          </w:divBdr>
          <w:divsChild>
            <w:div w:id="2093237555">
              <w:marLeft w:val="0"/>
              <w:marRight w:val="0"/>
              <w:marTop w:val="0"/>
              <w:marBottom w:val="0"/>
              <w:divBdr>
                <w:top w:val="none" w:sz="0" w:space="0" w:color="auto"/>
                <w:left w:val="none" w:sz="0" w:space="0" w:color="auto"/>
                <w:bottom w:val="none" w:sz="0" w:space="0" w:color="auto"/>
                <w:right w:val="none" w:sz="0" w:space="0" w:color="auto"/>
              </w:divBdr>
            </w:div>
          </w:divsChild>
        </w:div>
        <w:div w:id="1807312679">
          <w:marLeft w:val="0"/>
          <w:marRight w:val="0"/>
          <w:marTop w:val="0"/>
          <w:marBottom w:val="0"/>
          <w:divBdr>
            <w:top w:val="none" w:sz="0" w:space="0" w:color="auto"/>
            <w:left w:val="none" w:sz="0" w:space="0" w:color="auto"/>
            <w:bottom w:val="none" w:sz="0" w:space="0" w:color="auto"/>
            <w:right w:val="none" w:sz="0" w:space="0" w:color="auto"/>
          </w:divBdr>
          <w:divsChild>
            <w:div w:id="2736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88459">
      <w:bodyDiv w:val="1"/>
      <w:marLeft w:val="0"/>
      <w:marRight w:val="0"/>
      <w:marTop w:val="0"/>
      <w:marBottom w:val="0"/>
      <w:divBdr>
        <w:top w:val="none" w:sz="0" w:space="0" w:color="auto"/>
        <w:left w:val="none" w:sz="0" w:space="0" w:color="auto"/>
        <w:bottom w:val="none" w:sz="0" w:space="0" w:color="auto"/>
        <w:right w:val="none" w:sz="0" w:space="0" w:color="auto"/>
      </w:divBdr>
    </w:div>
    <w:div w:id="1984193224">
      <w:bodyDiv w:val="1"/>
      <w:marLeft w:val="0"/>
      <w:marRight w:val="0"/>
      <w:marTop w:val="0"/>
      <w:marBottom w:val="0"/>
      <w:divBdr>
        <w:top w:val="none" w:sz="0" w:space="0" w:color="auto"/>
        <w:left w:val="none" w:sz="0" w:space="0" w:color="auto"/>
        <w:bottom w:val="none" w:sz="0" w:space="0" w:color="auto"/>
        <w:right w:val="none" w:sz="0" w:space="0" w:color="auto"/>
      </w:divBdr>
    </w:div>
    <w:div w:id="1988586581">
      <w:bodyDiv w:val="1"/>
      <w:marLeft w:val="0"/>
      <w:marRight w:val="0"/>
      <w:marTop w:val="0"/>
      <w:marBottom w:val="0"/>
      <w:divBdr>
        <w:top w:val="none" w:sz="0" w:space="0" w:color="auto"/>
        <w:left w:val="none" w:sz="0" w:space="0" w:color="auto"/>
        <w:bottom w:val="none" w:sz="0" w:space="0" w:color="auto"/>
        <w:right w:val="none" w:sz="0" w:space="0" w:color="auto"/>
      </w:divBdr>
    </w:div>
    <w:div w:id="1994870413">
      <w:bodyDiv w:val="1"/>
      <w:marLeft w:val="0"/>
      <w:marRight w:val="0"/>
      <w:marTop w:val="0"/>
      <w:marBottom w:val="0"/>
      <w:divBdr>
        <w:top w:val="none" w:sz="0" w:space="0" w:color="auto"/>
        <w:left w:val="none" w:sz="0" w:space="0" w:color="auto"/>
        <w:bottom w:val="none" w:sz="0" w:space="0" w:color="auto"/>
        <w:right w:val="none" w:sz="0" w:space="0" w:color="auto"/>
      </w:divBdr>
    </w:div>
    <w:div w:id="1995180422">
      <w:bodyDiv w:val="1"/>
      <w:marLeft w:val="0"/>
      <w:marRight w:val="0"/>
      <w:marTop w:val="0"/>
      <w:marBottom w:val="0"/>
      <w:divBdr>
        <w:top w:val="none" w:sz="0" w:space="0" w:color="auto"/>
        <w:left w:val="none" w:sz="0" w:space="0" w:color="auto"/>
        <w:bottom w:val="none" w:sz="0" w:space="0" w:color="auto"/>
        <w:right w:val="none" w:sz="0" w:space="0" w:color="auto"/>
      </w:divBdr>
    </w:div>
    <w:div w:id="2006087961">
      <w:bodyDiv w:val="1"/>
      <w:marLeft w:val="0"/>
      <w:marRight w:val="0"/>
      <w:marTop w:val="0"/>
      <w:marBottom w:val="0"/>
      <w:divBdr>
        <w:top w:val="none" w:sz="0" w:space="0" w:color="auto"/>
        <w:left w:val="none" w:sz="0" w:space="0" w:color="auto"/>
        <w:bottom w:val="none" w:sz="0" w:space="0" w:color="auto"/>
        <w:right w:val="none" w:sz="0" w:space="0" w:color="auto"/>
      </w:divBdr>
    </w:div>
    <w:div w:id="2006975573">
      <w:bodyDiv w:val="1"/>
      <w:marLeft w:val="0"/>
      <w:marRight w:val="0"/>
      <w:marTop w:val="0"/>
      <w:marBottom w:val="0"/>
      <w:divBdr>
        <w:top w:val="none" w:sz="0" w:space="0" w:color="auto"/>
        <w:left w:val="none" w:sz="0" w:space="0" w:color="auto"/>
        <w:bottom w:val="none" w:sz="0" w:space="0" w:color="auto"/>
        <w:right w:val="none" w:sz="0" w:space="0" w:color="auto"/>
      </w:divBdr>
    </w:div>
    <w:div w:id="2013070276">
      <w:bodyDiv w:val="1"/>
      <w:marLeft w:val="0"/>
      <w:marRight w:val="0"/>
      <w:marTop w:val="0"/>
      <w:marBottom w:val="0"/>
      <w:divBdr>
        <w:top w:val="none" w:sz="0" w:space="0" w:color="auto"/>
        <w:left w:val="none" w:sz="0" w:space="0" w:color="auto"/>
        <w:bottom w:val="none" w:sz="0" w:space="0" w:color="auto"/>
        <w:right w:val="none" w:sz="0" w:space="0" w:color="auto"/>
      </w:divBdr>
    </w:div>
    <w:div w:id="2024505305">
      <w:bodyDiv w:val="1"/>
      <w:marLeft w:val="0"/>
      <w:marRight w:val="0"/>
      <w:marTop w:val="0"/>
      <w:marBottom w:val="0"/>
      <w:divBdr>
        <w:top w:val="none" w:sz="0" w:space="0" w:color="auto"/>
        <w:left w:val="none" w:sz="0" w:space="0" w:color="auto"/>
        <w:bottom w:val="none" w:sz="0" w:space="0" w:color="auto"/>
        <w:right w:val="none" w:sz="0" w:space="0" w:color="auto"/>
      </w:divBdr>
    </w:div>
    <w:div w:id="2042239987">
      <w:bodyDiv w:val="1"/>
      <w:marLeft w:val="0"/>
      <w:marRight w:val="0"/>
      <w:marTop w:val="0"/>
      <w:marBottom w:val="0"/>
      <w:divBdr>
        <w:top w:val="none" w:sz="0" w:space="0" w:color="auto"/>
        <w:left w:val="none" w:sz="0" w:space="0" w:color="auto"/>
        <w:bottom w:val="none" w:sz="0" w:space="0" w:color="auto"/>
        <w:right w:val="none" w:sz="0" w:space="0" w:color="auto"/>
      </w:divBdr>
    </w:div>
    <w:div w:id="2042511952">
      <w:bodyDiv w:val="1"/>
      <w:marLeft w:val="0"/>
      <w:marRight w:val="0"/>
      <w:marTop w:val="0"/>
      <w:marBottom w:val="0"/>
      <w:divBdr>
        <w:top w:val="none" w:sz="0" w:space="0" w:color="auto"/>
        <w:left w:val="none" w:sz="0" w:space="0" w:color="auto"/>
        <w:bottom w:val="none" w:sz="0" w:space="0" w:color="auto"/>
        <w:right w:val="none" w:sz="0" w:space="0" w:color="auto"/>
      </w:divBdr>
    </w:div>
    <w:div w:id="2054770045">
      <w:bodyDiv w:val="1"/>
      <w:marLeft w:val="0"/>
      <w:marRight w:val="0"/>
      <w:marTop w:val="0"/>
      <w:marBottom w:val="0"/>
      <w:divBdr>
        <w:top w:val="none" w:sz="0" w:space="0" w:color="auto"/>
        <w:left w:val="none" w:sz="0" w:space="0" w:color="auto"/>
        <w:bottom w:val="none" w:sz="0" w:space="0" w:color="auto"/>
        <w:right w:val="none" w:sz="0" w:space="0" w:color="auto"/>
      </w:divBdr>
    </w:div>
    <w:div w:id="2055957489">
      <w:bodyDiv w:val="1"/>
      <w:marLeft w:val="0"/>
      <w:marRight w:val="0"/>
      <w:marTop w:val="0"/>
      <w:marBottom w:val="0"/>
      <w:divBdr>
        <w:top w:val="none" w:sz="0" w:space="0" w:color="auto"/>
        <w:left w:val="none" w:sz="0" w:space="0" w:color="auto"/>
        <w:bottom w:val="none" w:sz="0" w:space="0" w:color="auto"/>
        <w:right w:val="none" w:sz="0" w:space="0" w:color="auto"/>
      </w:divBdr>
    </w:div>
    <w:div w:id="2067415968">
      <w:bodyDiv w:val="1"/>
      <w:marLeft w:val="0"/>
      <w:marRight w:val="0"/>
      <w:marTop w:val="0"/>
      <w:marBottom w:val="0"/>
      <w:divBdr>
        <w:top w:val="none" w:sz="0" w:space="0" w:color="auto"/>
        <w:left w:val="none" w:sz="0" w:space="0" w:color="auto"/>
        <w:bottom w:val="none" w:sz="0" w:space="0" w:color="auto"/>
        <w:right w:val="none" w:sz="0" w:space="0" w:color="auto"/>
      </w:divBdr>
    </w:div>
    <w:div w:id="2070958901">
      <w:bodyDiv w:val="1"/>
      <w:marLeft w:val="0"/>
      <w:marRight w:val="0"/>
      <w:marTop w:val="0"/>
      <w:marBottom w:val="0"/>
      <w:divBdr>
        <w:top w:val="none" w:sz="0" w:space="0" w:color="auto"/>
        <w:left w:val="none" w:sz="0" w:space="0" w:color="auto"/>
        <w:bottom w:val="none" w:sz="0" w:space="0" w:color="auto"/>
        <w:right w:val="none" w:sz="0" w:space="0" w:color="auto"/>
      </w:divBdr>
    </w:div>
    <w:div w:id="2076049514">
      <w:bodyDiv w:val="1"/>
      <w:marLeft w:val="0"/>
      <w:marRight w:val="0"/>
      <w:marTop w:val="0"/>
      <w:marBottom w:val="0"/>
      <w:divBdr>
        <w:top w:val="none" w:sz="0" w:space="0" w:color="auto"/>
        <w:left w:val="none" w:sz="0" w:space="0" w:color="auto"/>
        <w:bottom w:val="none" w:sz="0" w:space="0" w:color="auto"/>
        <w:right w:val="none" w:sz="0" w:space="0" w:color="auto"/>
      </w:divBdr>
    </w:div>
    <w:div w:id="2079012884">
      <w:bodyDiv w:val="1"/>
      <w:marLeft w:val="0"/>
      <w:marRight w:val="0"/>
      <w:marTop w:val="0"/>
      <w:marBottom w:val="0"/>
      <w:divBdr>
        <w:top w:val="none" w:sz="0" w:space="0" w:color="auto"/>
        <w:left w:val="none" w:sz="0" w:space="0" w:color="auto"/>
        <w:bottom w:val="none" w:sz="0" w:space="0" w:color="auto"/>
        <w:right w:val="none" w:sz="0" w:space="0" w:color="auto"/>
      </w:divBdr>
    </w:div>
    <w:div w:id="2086955878">
      <w:bodyDiv w:val="1"/>
      <w:marLeft w:val="0"/>
      <w:marRight w:val="0"/>
      <w:marTop w:val="0"/>
      <w:marBottom w:val="0"/>
      <w:divBdr>
        <w:top w:val="none" w:sz="0" w:space="0" w:color="auto"/>
        <w:left w:val="none" w:sz="0" w:space="0" w:color="auto"/>
        <w:bottom w:val="none" w:sz="0" w:space="0" w:color="auto"/>
        <w:right w:val="none" w:sz="0" w:space="0" w:color="auto"/>
      </w:divBdr>
    </w:div>
    <w:div w:id="2105177334">
      <w:bodyDiv w:val="1"/>
      <w:marLeft w:val="0"/>
      <w:marRight w:val="0"/>
      <w:marTop w:val="0"/>
      <w:marBottom w:val="0"/>
      <w:divBdr>
        <w:top w:val="none" w:sz="0" w:space="0" w:color="auto"/>
        <w:left w:val="none" w:sz="0" w:space="0" w:color="auto"/>
        <w:bottom w:val="none" w:sz="0" w:space="0" w:color="auto"/>
        <w:right w:val="none" w:sz="0" w:space="0" w:color="auto"/>
      </w:divBdr>
    </w:div>
    <w:div w:id="2113166256">
      <w:bodyDiv w:val="1"/>
      <w:marLeft w:val="0"/>
      <w:marRight w:val="0"/>
      <w:marTop w:val="0"/>
      <w:marBottom w:val="0"/>
      <w:divBdr>
        <w:top w:val="none" w:sz="0" w:space="0" w:color="auto"/>
        <w:left w:val="none" w:sz="0" w:space="0" w:color="auto"/>
        <w:bottom w:val="none" w:sz="0" w:space="0" w:color="auto"/>
        <w:right w:val="none" w:sz="0" w:space="0" w:color="auto"/>
      </w:divBdr>
    </w:div>
    <w:div w:id="2131119832">
      <w:bodyDiv w:val="1"/>
      <w:marLeft w:val="0"/>
      <w:marRight w:val="0"/>
      <w:marTop w:val="0"/>
      <w:marBottom w:val="0"/>
      <w:divBdr>
        <w:top w:val="none" w:sz="0" w:space="0" w:color="auto"/>
        <w:left w:val="none" w:sz="0" w:space="0" w:color="auto"/>
        <w:bottom w:val="none" w:sz="0" w:space="0" w:color="auto"/>
        <w:right w:val="none" w:sz="0" w:space="0" w:color="auto"/>
      </w:divBdr>
    </w:div>
    <w:div w:id="213320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zenodo.org/records/1877283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4D23572BF6B334CB6B21CCFAAA63596" ma:contentTypeVersion="18" ma:contentTypeDescription="Create a new document." ma:contentTypeScope="" ma:versionID="24f678d7fefec748cd5c4c1d793b4641">
  <xsd:schema xmlns:xsd="http://www.w3.org/2001/XMLSchema" xmlns:xs="http://www.w3.org/2001/XMLSchema" xmlns:p="http://schemas.microsoft.com/office/2006/metadata/properties" xmlns:ns3="a2d6d4e0-333c-47b4-9504-db9f45e10cb7" xmlns:ns4="41b5b52d-6fc9-4675-b240-9ab4fc5e092e" targetNamespace="http://schemas.microsoft.com/office/2006/metadata/properties" ma:root="true" ma:fieldsID="096211bda28642d4c6a28b23489cfd35" ns3:_="" ns4:_="">
    <xsd:import namespace="a2d6d4e0-333c-47b4-9504-db9f45e10cb7"/>
    <xsd:import namespace="41b5b52d-6fc9-4675-b240-9ab4fc5e09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6d4e0-333c-47b4-9504-db9f45e10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b5b52d-6fc9-4675-b240-9ab4fc5e09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2d6d4e0-333c-47b4-9504-db9f45e10cb7" xsi:nil="true"/>
  </documentManagement>
</p:properties>
</file>

<file path=customXml/itemProps1.xml><?xml version="1.0" encoding="utf-8"?>
<ds:datastoreItem xmlns:ds="http://schemas.openxmlformats.org/officeDocument/2006/customXml" ds:itemID="{199C757D-657D-41D5-9A19-E9AEF93BF402}">
  <ds:schemaRefs>
    <ds:schemaRef ds:uri="http://schemas.openxmlformats.org/officeDocument/2006/bibliography"/>
  </ds:schemaRefs>
</ds:datastoreItem>
</file>

<file path=customXml/itemProps2.xml><?xml version="1.0" encoding="utf-8"?>
<ds:datastoreItem xmlns:ds="http://schemas.openxmlformats.org/officeDocument/2006/customXml" ds:itemID="{B9DE8C38-F4FD-4C80-A899-A01878B3B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6d4e0-333c-47b4-9504-db9f45e10cb7"/>
    <ds:schemaRef ds:uri="41b5b52d-6fc9-4675-b240-9ab4fc5e0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94FAA-B7DD-4AA8-BDB2-871C7D29014F}">
  <ds:schemaRefs>
    <ds:schemaRef ds:uri="http://schemas.microsoft.com/sharepoint/v3/contenttype/forms"/>
  </ds:schemaRefs>
</ds:datastoreItem>
</file>

<file path=customXml/itemProps4.xml><?xml version="1.0" encoding="utf-8"?>
<ds:datastoreItem xmlns:ds="http://schemas.openxmlformats.org/officeDocument/2006/customXml" ds:itemID="{95C6DB25-1AA7-4688-9CB7-9C97FEFF81E9}">
  <ds:schemaRefs>
    <ds:schemaRef ds:uri="http://schemas.microsoft.com/office/2006/metadata/properties"/>
    <ds:schemaRef ds:uri="http://schemas.microsoft.com/office/infopath/2007/PartnerControls"/>
    <ds:schemaRef ds:uri="a2d6d4e0-333c-47b4-9504-db9f45e10cb7"/>
  </ds:schemaRefs>
</ds:datastoreItem>
</file>

<file path=docMetadata/LabelInfo.xml><?xml version="1.0" encoding="utf-8"?>
<clbl:labelList xmlns:clbl="http://schemas.microsoft.com/office/2020/mipLabelMetadata">
  <clbl:label id="{a7f2ec83-e677-438d-afb7-4c7c0dbc872b}" enabled="1" method="Standard" siteId="{3bc062e4-ac9d-4c17-b4dd-3aad637ff1ac}" removed="0"/>
</clbl:labelList>
</file>

<file path=docProps/app.xml><?xml version="1.0" encoding="utf-8"?>
<Properties xmlns="http://schemas.openxmlformats.org/officeDocument/2006/extended-properties" xmlns:vt="http://schemas.openxmlformats.org/officeDocument/2006/docPropsVTypes">
  <Template>Normal.dotm</Template>
  <TotalTime>206</TotalTime>
  <Pages>25</Pages>
  <Words>8488</Words>
  <Characters>48384</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 Kevin</dc:creator>
  <cp:keywords/>
  <dc:description/>
  <cp:lastModifiedBy>Warne Kevin</cp:lastModifiedBy>
  <cp:revision>141</cp:revision>
  <cp:lastPrinted>2025-12-05T07:09:00Z</cp:lastPrinted>
  <dcterms:created xsi:type="dcterms:W3CDTF">2026-03-02T16:58:00Z</dcterms:created>
  <dcterms:modified xsi:type="dcterms:W3CDTF">2026-04-27T08:47:00Z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0x010100E4D23572BF6B334CB6B21CCFAAA63596</vt:lpwstr>
  </property>
</Properties>
</file>